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30B" w14:textId="46A7090D" w:rsidR="002938F2" w:rsidRPr="006B2C51" w:rsidRDefault="002938F2" w:rsidP="00AE1B18">
      <w:pPr>
        <w:spacing w:before="1440"/>
        <w:jc w:val="center"/>
        <w:rPr>
          <w:rFonts w:ascii="Arial" w:hAnsi="Arial" w:cs="Arial"/>
          <w:b/>
          <w:szCs w:val="22"/>
        </w:rPr>
      </w:pPr>
      <w:r>
        <w:rPr>
          <w:rFonts w:ascii="Arial" w:hAnsi="Arial"/>
          <w:b/>
        </w:rPr>
        <w:t>CONVENTION POUR LA SAUVEGARDE DU</w:t>
      </w:r>
      <w:r>
        <w:rPr>
          <w:rFonts w:ascii="Arial" w:hAnsi="Arial"/>
          <w:b/>
        </w:rPr>
        <w:br/>
        <w:t>PATRIMOINE CULTUREL IMMATÉRIEL</w:t>
      </w:r>
    </w:p>
    <w:p w14:paraId="1D2DE622" w14:textId="1BE779D1" w:rsidR="007E4E37" w:rsidRPr="006B2C51" w:rsidRDefault="007E4E37" w:rsidP="007E4E37">
      <w:pPr>
        <w:spacing w:before="1200"/>
        <w:jc w:val="center"/>
        <w:rPr>
          <w:rFonts w:ascii="Arial" w:hAnsi="Arial" w:cs="Arial"/>
          <w:b/>
          <w:szCs w:val="22"/>
        </w:rPr>
      </w:pPr>
      <w:r>
        <w:rPr>
          <w:rFonts w:ascii="Arial" w:hAnsi="Arial"/>
          <w:b/>
        </w:rPr>
        <w:t>COMITÉ INTERGOUVERNEMENTAL DE</w:t>
      </w:r>
      <w:r w:rsidR="00883888">
        <w:rPr>
          <w:rFonts w:ascii="Arial" w:hAnsi="Arial"/>
          <w:b/>
        </w:rPr>
        <w:t xml:space="preserve"> </w:t>
      </w:r>
      <w:r>
        <w:rPr>
          <w:rFonts w:ascii="Arial" w:hAnsi="Arial"/>
          <w:b/>
        </w:rPr>
        <w:t>SAUVEGARDE</w:t>
      </w:r>
      <w:r w:rsidR="00883888">
        <w:rPr>
          <w:rFonts w:ascii="Arial" w:hAnsi="Arial"/>
          <w:b/>
        </w:rPr>
        <w:br/>
      </w:r>
      <w:r>
        <w:rPr>
          <w:rFonts w:ascii="Arial" w:hAnsi="Arial"/>
          <w:b/>
        </w:rPr>
        <w:t>DU PATRIMOINE CULTUREL IMMATÉRIEL</w:t>
      </w:r>
    </w:p>
    <w:p w14:paraId="1DA5CC95" w14:textId="2C8488D8" w:rsidR="00FE41A9" w:rsidRPr="006B2C51" w:rsidRDefault="006E053C" w:rsidP="00FE41A9">
      <w:pPr>
        <w:spacing w:before="840" w:after="0"/>
        <w:jc w:val="center"/>
        <w:rPr>
          <w:rFonts w:ascii="Arial" w:hAnsi="Arial" w:cs="Arial"/>
          <w:b/>
          <w:szCs w:val="22"/>
        </w:rPr>
      </w:pPr>
      <w:r>
        <w:rPr>
          <w:rFonts w:ascii="Arial" w:hAnsi="Arial"/>
          <w:b/>
        </w:rPr>
        <w:t>Vingtième session</w:t>
      </w:r>
    </w:p>
    <w:p w14:paraId="7CA63FC6" w14:textId="01CB91C7" w:rsidR="00FE41A9" w:rsidRPr="006B2C51" w:rsidRDefault="006E053C" w:rsidP="00FE41A9">
      <w:pPr>
        <w:spacing w:after="0"/>
        <w:jc w:val="center"/>
        <w:rPr>
          <w:rFonts w:ascii="Arial" w:hAnsi="Arial" w:cs="Arial"/>
          <w:b/>
          <w:szCs w:val="22"/>
        </w:rPr>
      </w:pPr>
      <w:r>
        <w:rPr>
          <w:rFonts w:ascii="Arial" w:hAnsi="Arial"/>
          <w:b/>
        </w:rPr>
        <w:t>New Delhi, République de l’Inde</w:t>
      </w:r>
    </w:p>
    <w:p w14:paraId="10E9925B" w14:textId="64203A66" w:rsidR="00FE41A9" w:rsidRPr="006B2C51" w:rsidRDefault="006E053C" w:rsidP="00FE41A9">
      <w:pPr>
        <w:spacing w:after="0"/>
        <w:jc w:val="center"/>
        <w:rPr>
          <w:rFonts w:ascii="Arial" w:hAnsi="Arial" w:cs="Arial"/>
          <w:b/>
          <w:szCs w:val="22"/>
        </w:rPr>
      </w:pPr>
      <w:r>
        <w:rPr>
          <w:rFonts w:ascii="Arial" w:hAnsi="Arial"/>
          <w:b/>
        </w:rPr>
        <w:t>8 – 13 décembre 2025</w:t>
      </w:r>
    </w:p>
    <w:p w14:paraId="2DC6C2DB" w14:textId="77777777" w:rsidR="009D742C" w:rsidRPr="006B2C51" w:rsidRDefault="00D816FB" w:rsidP="00570814">
      <w:pPr>
        <w:spacing w:before="1200" w:after="0"/>
        <w:jc w:val="center"/>
        <w:rPr>
          <w:rFonts w:ascii="Arial" w:eastAsiaTheme="minorEastAsia" w:hAnsi="Arial" w:cs="Arial"/>
          <w:b/>
          <w:szCs w:val="22"/>
          <w:u w:val="single"/>
        </w:rPr>
      </w:pPr>
      <w:r>
        <w:rPr>
          <w:rFonts w:ascii="Arial" w:hAnsi="Arial"/>
          <w:b/>
          <w:u w:val="single"/>
        </w:rPr>
        <w:t>Rapport sur la priorité de financement 2 :</w:t>
      </w:r>
    </w:p>
    <w:p w14:paraId="7F8237B5" w14:textId="63C5354A" w:rsidR="00851458" w:rsidRPr="006B2C51" w:rsidRDefault="006D0BCF" w:rsidP="00384CD5">
      <w:pPr>
        <w:spacing w:after="0"/>
        <w:jc w:val="center"/>
        <w:rPr>
          <w:rFonts w:ascii="Arial" w:eastAsiaTheme="minorEastAsia" w:hAnsi="Arial" w:cs="Arial"/>
          <w:b/>
          <w:szCs w:val="22"/>
          <w:u w:val="single"/>
        </w:rPr>
      </w:pPr>
      <w:r>
        <w:rPr>
          <w:rFonts w:ascii="Arial" w:hAnsi="Arial"/>
          <w:b/>
          <w:u w:val="single"/>
        </w:rPr>
        <w:t>Sauvegarde du patrimoine vivant dans l’éducation formelle et non formelle (2022-2025)</w:t>
      </w:r>
    </w:p>
    <w:p w14:paraId="40F4823E" w14:textId="77777777" w:rsidR="0060216F" w:rsidRPr="006B2C51" w:rsidRDefault="00851458" w:rsidP="00384CD5">
      <w:pPr>
        <w:pStyle w:val="1GAPara"/>
        <w:numPr>
          <w:ilvl w:val="0"/>
          <w:numId w:val="0"/>
        </w:numPr>
        <w:jc w:val="both"/>
        <w:rPr>
          <w:b/>
          <w:bCs/>
        </w:rPr>
      </w:pPr>
      <w:r>
        <w:br w:type="page"/>
      </w:r>
      <w:bookmarkStart w:id="0" w:name="_Hlk206417940"/>
      <w:r>
        <w:rPr>
          <w:b/>
        </w:rPr>
        <w:lastRenderedPageBreak/>
        <w:t>Contexte</w:t>
      </w:r>
    </w:p>
    <w:p w14:paraId="272035D6" w14:textId="4091B38F" w:rsidR="00F10A72" w:rsidRPr="000D2420" w:rsidRDefault="001202EA" w:rsidP="00F02F2C">
      <w:pPr>
        <w:pStyle w:val="1GAPara"/>
        <w:widowControl w:val="0"/>
        <w:ind w:left="567" w:hanging="567"/>
        <w:jc w:val="both"/>
      </w:pPr>
      <w:r>
        <w:t xml:space="preserve">Le patrimoine vivant offre une </w:t>
      </w:r>
      <w:r w:rsidRPr="00C6023B">
        <w:t xml:space="preserve">pédagogie </w:t>
      </w:r>
      <w:r w:rsidR="000F29A4" w:rsidRPr="00C6023B">
        <w:t>et d</w:t>
      </w:r>
      <w:r w:rsidR="00C6023B" w:rsidRPr="00F67CB4">
        <w:t>es</w:t>
      </w:r>
      <w:r w:rsidR="000F29A4" w:rsidRPr="00C6023B">
        <w:t xml:space="preserve"> contenu</w:t>
      </w:r>
      <w:r w:rsidR="00C6023B" w:rsidRPr="00C6023B">
        <w:t>s</w:t>
      </w:r>
      <w:r w:rsidR="000F29A4">
        <w:t xml:space="preserve"> </w:t>
      </w:r>
      <w:r>
        <w:t>spécifique</w:t>
      </w:r>
      <w:r w:rsidR="00C6023B">
        <w:t>s</w:t>
      </w:r>
      <w:r>
        <w:t xml:space="preserve"> au contexte qui renforce</w:t>
      </w:r>
      <w:r w:rsidR="00C6023B">
        <w:t>nt</w:t>
      </w:r>
      <w:r>
        <w:t xml:space="preserve"> la pertinence et la qualité de l’éducation, tout en promouvant une approche plus large de la sauvegarde. Parce qu’il permet de contextualiser ce que l’on apprend et comment on l’apprend, il renforce le lien entre les espaces d’apprentissage et la vie quotidienne des apprenants, encourageant la fierté de leur propre culture et le respect de celle des autres. La Convention de 2003 reconnaît la transmission du patrimoine culturel immatériel par l’éducation formelle et non formelle comme une mesure de sauvegarde (article 2.3) et appelle les États Parties à assurer la reconnaissance, le respect et la mise en valeur du patrimoine culturel immatériel grâce à des programmes éducatifs (article 14). Sur cette base, le </w:t>
      </w:r>
      <w:hyperlink r:id="rId8" w:history="1">
        <w:r>
          <w:rPr>
            <w:rStyle w:val="Lienhypertexte"/>
          </w:rPr>
          <w:t>programme sur la sauvegarde du patrimoine culturel immatériel dans l’éducation formelle et non formelle</w:t>
        </w:r>
      </w:hyperlink>
      <w:r>
        <w:t xml:space="preserve"> (ci-après « le programme ») a été lancé </w:t>
      </w:r>
      <w:r w:rsidR="000F29A4" w:rsidRPr="000D2420">
        <w:t xml:space="preserve">comme Priorité de financement 2 au titre de la Convention en 2018 </w:t>
      </w:r>
      <w:r w:rsidR="00C6023B" w:rsidRPr="000D2420">
        <w:t xml:space="preserve">(Décision </w:t>
      </w:r>
      <w:hyperlink r:id="rId9" w:history="1">
        <w:r w:rsidR="00C6023B" w:rsidRPr="000D2420">
          <w:rPr>
            <w:rStyle w:val="Lienhypertexte"/>
          </w:rPr>
          <w:t>12.COM 6</w:t>
        </w:r>
      </w:hyperlink>
      <w:r w:rsidR="00C6023B" w:rsidRPr="000D2420">
        <w:t>).</w:t>
      </w:r>
    </w:p>
    <w:p w14:paraId="31ED2625" w14:textId="53E6A5A2" w:rsidR="001E278D" w:rsidRPr="001E278D" w:rsidRDefault="001E278D" w:rsidP="00F67CB4">
      <w:pPr>
        <w:pStyle w:val="1GAPara"/>
        <w:widowControl w:val="0"/>
        <w:ind w:left="567" w:hanging="567"/>
        <w:jc w:val="both"/>
      </w:pPr>
      <w:r w:rsidRPr="001E278D">
        <w:t>Depuis lors, l’intégration de la sauvegarde du patrimoine culturel immatériel dans l’éducation formelle et non formelle a été soutenue par des contributions volontaires supplémentaires au Fonds pour la sauvegarde du patrimoine culturel immatériel (ci-après « le Fonds »).</w:t>
      </w:r>
      <w:r>
        <w:t xml:space="preserve"> </w:t>
      </w:r>
      <w:r w:rsidR="00B04F3C">
        <w:t xml:space="preserve">Les premiers efforts ont porté sur la sensibilisation et le soutien technique aux États membres dans l’élaboration de méthodes et d’outils permettant d’intégrer le patrimoine vivant dans l’éducation. </w:t>
      </w:r>
      <w:r>
        <w:t>En</w:t>
      </w:r>
      <w:r w:rsidRPr="001E278D">
        <w:t xml:space="preserve"> 2021 la seizième session du Comité</w:t>
      </w:r>
      <w:r>
        <w:t xml:space="preserve"> a renouvelé</w:t>
      </w:r>
      <w:r w:rsidR="00C6023B">
        <w:t xml:space="preserve"> la</w:t>
      </w:r>
      <w:r w:rsidRPr="001E278D">
        <w:t xml:space="preserve"> </w:t>
      </w:r>
      <w:r w:rsidR="00C6023B">
        <w:t>p</w:t>
      </w:r>
      <w:r w:rsidRPr="001E278D">
        <w:t xml:space="preserve">riorité de financement 2 de la Convention pour </w:t>
      </w:r>
      <w:r w:rsidR="00C6023B">
        <w:t>une</w:t>
      </w:r>
      <w:r w:rsidRPr="001E278D">
        <w:t xml:space="preserve"> deuxième </w:t>
      </w:r>
      <w:r w:rsidR="00C6023B">
        <w:t xml:space="preserve">période </w:t>
      </w:r>
      <w:r w:rsidRPr="001E278D">
        <w:t>quadriennal</w:t>
      </w:r>
      <w:r w:rsidR="00C6023B">
        <w:t>e,</w:t>
      </w:r>
      <w:r w:rsidRPr="001E278D">
        <w:t xml:space="preserve"> </w:t>
      </w:r>
      <w:r w:rsidR="00C6023B">
        <w:t xml:space="preserve">de </w:t>
      </w:r>
      <w:r w:rsidRPr="001E278D">
        <w:t>2022</w:t>
      </w:r>
      <w:r w:rsidR="00C6023B">
        <w:t xml:space="preserve"> au </w:t>
      </w:r>
      <w:r w:rsidRPr="001E278D">
        <w:t>2025</w:t>
      </w:r>
      <w:r w:rsidR="00C6023B">
        <w:t xml:space="preserve"> (Décision </w:t>
      </w:r>
      <w:hyperlink r:id="rId10" w:history="1">
        <w:r w:rsidR="00C6023B">
          <w:rPr>
            <w:rStyle w:val="Lienhypertexte"/>
          </w:rPr>
          <w:t>16.COM 12</w:t>
        </w:r>
      </w:hyperlink>
      <w:r w:rsidR="00C6023B">
        <w:t xml:space="preserve">), </w:t>
      </w:r>
      <w:r w:rsidR="00C6023B" w:rsidRPr="00C6023B">
        <w:t>en mettant davantage l’accent sur l’intégration des projets et activités au sein des systèmes éducatifs.</w:t>
      </w:r>
    </w:p>
    <w:p w14:paraId="65F071A8" w14:textId="2A3F1536" w:rsidR="00AB4A1E" w:rsidRPr="006B2C51" w:rsidRDefault="00511E78" w:rsidP="00384CD5">
      <w:pPr>
        <w:pStyle w:val="1GAPara"/>
        <w:widowControl w:val="0"/>
        <w:ind w:left="567" w:hanging="567"/>
        <w:jc w:val="both"/>
      </w:pPr>
      <w:r>
        <w:t xml:space="preserve">Pour la période </w:t>
      </w:r>
      <w:r w:rsidRPr="002A4E02">
        <w:t>quadriennale 2022-2025,</w:t>
      </w:r>
      <w:r>
        <w:t xml:space="preserve"> les interventions réalisées dans le cadre de la priorité de financement 2 ont été structurées autour de </w:t>
      </w:r>
      <w:r w:rsidR="00C6023B">
        <w:t>six</w:t>
      </w:r>
      <w:r>
        <w:t xml:space="preserve"> résultats attendus (voir l’Annexe II du </w:t>
      </w:r>
      <w:r w:rsidR="002A4E02">
        <w:t>d</w:t>
      </w:r>
      <w:r>
        <w:t>ocument </w:t>
      </w:r>
      <w:hyperlink r:id="rId11" w:history="1">
        <w:r>
          <w:rPr>
            <w:rStyle w:val="Lienhypertexte"/>
          </w:rPr>
          <w:t>LHE/21/16.COM/12</w:t>
        </w:r>
      </w:hyperlink>
      <w:r>
        <w:t xml:space="preserve">). L’objectif du présent </w:t>
      </w:r>
      <w:r w:rsidR="002A4E02">
        <w:t>document</w:t>
      </w:r>
      <w:r>
        <w:t xml:space="preserve"> est de passer en revue et de souligner les principales réalisations et leçons apprises dans ce cadre, afin de soutenir le rapport présenté à cette session </w:t>
      </w:r>
      <w:r w:rsidRPr="000D2420">
        <w:t>du Comité intergouvernemental concernant les contributions volontaires supplémentaires au Fonds, au titre du point 13 (</w:t>
      </w:r>
      <w:r>
        <w:t>document </w:t>
      </w:r>
      <w:hyperlink r:id="rId12" w:history="1">
        <w:r w:rsidRPr="000E4A10">
          <w:rPr>
            <w:rStyle w:val="Lienhypertexte"/>
          </w:rPr>
          <w:t>LHE/25/20.COM</w:t>
        </w:r>
        <w:r w:rsidR="002A4E02" w:rsidRPr="000E4A10">
          <w:rPr>
            <w:rStyle w:val="Lienhypertexte"/>
          </w:rPr>
          <w:t>/</w:t>
        </w:r>
        <w:r w:rsidRPr="000E4A10">
          <w:rPr>
            <w:rStyle w:val="Lienhypertexte"/>
          </w:rPr>
          <w:t>13</w:t>
        </w:r>
      </w:hyperlink>
      <w:r>
        <w:t>).</w:t>
      </w:r>
    </w:p>
    <w:p w14:paraId="01A55709" w14:textId="11A16359" w:rsidR="007B36EA" w:rsidRPr="006B2C51" w:rsidRDefault="002A562B" w:rsidP="00064B73">
      <w:pPr>
        <w:pStyle w:val="1GAPara"/>
        <w:ind w:left="567" w:hanging="567"/>
        <w:jc w:val="both"/>
      </w:pPr>
      <w:r>
        <w:t>Sur les trois projets financés par des contributions volontaires supplémentaires (énumérés ci-dessous), un est en cours de mise en œuvre grâce à l’aide reçue au cours de la période considérée</w:t>
      </w:r>
      <w:r w:rsidR="0022556D">
        <w:t xml:space="preserve"> </w:t>
      </w:r>
      <w:r w:rsidR="0022556D" w:rsidRPr="0022556D">
        <w:t>(indiqué par un astérisque)</w:t>
      </w:r>
      <w:r>
        <w:t xml:space="preserve">. Les deux autres ont été financés par le soutien reçu au cours de la période quadriennale </w:t>
      </w:r>
      <w:r w:rsidRPr="002A4E02">
        <w:t>précédente (2018-2021) et</w:t>
      </w:r>
      <w:r>
        <w:t xml:space="preserve"> ont été mis en œuvre au cours des deux périodes.</w:t>
      </w:r>
    </w:p>
    <w:tbl>
      <w:tblPr>
        <w:tblStyle w:val="Grilledutableau"/>
        <w:tblW w:w="0" w:type="auto"/>
        <w:tblInd w:w="567" w:type="dxa"/>
        <w:tblLayout w:type="fixed"/>
        <w:tblLook w:val="04A0" w:firstRow="1" w:lastRow="0" w:firstColumn="1" w:lastColumn="0" w:noHBand="0" w:noVBand="1"/>
      </w:tblPr>
      <w:tblGrid>
        <w:gridCol w:w="562"/>
        <w:gridCol w:w="5103"/>
        <w:gridCol w:w="1843"/>
        <w:gridCol w:w="1553"/>
      </w:tblGrid>
      <w:tr w:rsidR="006359E7" w:rsidRPr="006B2C51" w14:paraId="3D41BBC4" w14:textId="77777777" w:rsidTr="00384CD5">
        <w:tc>
          <w:tcPr>
            <w:tcW w:w="562" w:type="dxa"/>
          </w:tcPr>
          <w:p w14:paraId="2EE5927E" w14:textId="6E98BE37" w:rsidR="006359E7" w:rsidRPr="006B2C51" w:rsidRDefault="006359E7" w:rsidP="00384CD5">
            <w:pPr>
              <w:pStyle w:val="1GAPara"/>
              <w:numPr>
                <w:ilvl w:val="0"/>
                <w:numId w:val="0"/>
              </w:numPr>
              <w:ind w:right="-348"/>
              <w:jc w:val="both"/>
              <w:rPr>
                <w:b/>
                <w:bCs/>
                <w:sz w:val="20"/>
                <w:szCs w:val="20"/>
              </w:rPr>
            </w:pPr>
            <w:r>
              <w:rPr>
                <w:b/>
                <w:sz w:val="20"/>
              </w:rPr>
              <w:t>N°</w:t>
            </w:r>
          </w:p>
        </w:tc>
        <w:tc>
          <w:tcPr>
            <w:tcW w:w="5103" w:type="dxa"/>
          </w:tcPr>
          <w:p w14:paraId="49C43C87" w14:textId="0C79034D" w:rsidR="006359E7" w:rsidRPr="006B2C51" w:rsidRDefault="006359E7" w:rsidP="00384CD5">
            <w:pPr>
              <w:pStyle w:val="1GAPara"/>
              <w:numPr>
                <w:ilvl w:val="0"/>
                <w:numId w:val="0"/>
              </w:numPr>
              <w:jc w:val="center"/>
              <w:rPr>
                <w:b/>
                <w:bCs/>
                <w:sz w:val="20"/>
                <w:szCs w:val="20"/>
              </w:rPr>
            </w:pPr>
            <w:r>
              <w:rPr>
                <w:b/>
                <w:sz w:val="20"/>
              </w:rPr>
              <w:t>Titre</w:t>
            </w:r>
          </w:p>
        </w:tc>
        <w:tc>
          <w:tcPr>
            <w:tcW w:w="1843" w:type="dxa"/>
          </w:tcPr>
          <w:p w14:paraId="0852EEF9" w14:textId="3E0B5403" w:rsidR="006359E7" w:rsidRPr="006B2C51" w:rsidRDefault="002606CB" w:rsidP="007F3D62">
            <w:pPr>
              <w:pStyle w:val="1GAPara"/>
              <w:numPr>
                <w:ilvl w:val="0"/>
                <w:numId w:val="0"/>
              </w:numPr>
              <w:jc w:val="both"/>
              <w:rPr>
                <w:b/>
                <w:bCs/>
                <w:sz w:val="20"/>
                <w:szCs w:val="20"/>
              </w:rPr>
            </w:pPr>
            <w:r>
              <w:rPr>
                <w:b/>
                <w:sz w:val="20"/>
              </w:rPr>
              <w:t>Période de mise en œuvre</w:t>
            </w:r>
          </w:p>
        </w:tc>
        <w:tc>
          <w:tcPr>
            <w:tcW w:w="1553" w:type="dxa"/>
          </w:tcPr>
          <w:p w14:paraId="70A67775" w14:textId="3BED1FB7" w:rsidR="006359E7" w:rsidRPr="006B2C51" w:rsidRDefault="002A562B" w:rsidP="007F3D62">
            <w:pPr>
              <w:pStyle w:val="1GAPara"/>
              <w:numPr>
                <w:ilvl w:val="0"/>
                <w:numId w:val="0"/>
              </w:numPr>
              <w:jc w:val="both"/>
              <w:rPr>
                <w:b/>
                <w:bCs/>
                <w:sz w:val="20"/>
                <w:szCs w:val="20"/>
              </w:rPr>
            </w:pPr>
            <w:r>
              <w:rPr>
                <w:b/>
                <w:sz w:val="20"/>
              </w:rPr>
              <w:t>Lien</w:t>
            </w:r>
          </w:p>
        </w:tc>
      </w:tr>
      <w:tr w:rsidR="00DA7DC4" w:rsidRPr="006B2C51" w14:paraId="6ECECC81" w14:textId="77777777" w:rsidTr="00384CD5">
        <w:tc>
          <w:tcPr>
            <w:tcW w:w="562" w:type="dxa"/>
          </w:tcPr>
          <w:p w14:paraId="4D72DD6D" w14:textId="225D172C" w:rsidR="00DA7DC4" w:rsidRPr="006B2C51" w:rsidRDefault="00DA7DC4" w:rsidP="00DA7DC4">
            <w:pPr>
              <w:pStyle w:val="1GAPara"/>
              <w:numPr>
                <w:ilvl w:val="0"/>
                <w:numId w:val="0"/>
              </w:numPr>
              <w:jc w:val="both"/>
              <w:rPr>
                <w:sz w:val="20"/>
                <w:szCs w:val="20"/>
              </w:rPr>
            </w:pPr>
            <w:r>
              <w:rPr>
                <w:sz w:val="20"/>
              </w:rPr>
              <w:t>1</w:t>
            </w:r>
            <w:r w:rsidR="0022556D">
              <w:rPr>
                <w:sz w:val="20"/>
              </w:rPr>
              <w:t>*</w:t>
            </w:r>
          </w:p>
        </w:tc>
        <w:tc>
          <w:tcPr>
            <w:tcW w:w="5103" w:type="dxa"/>
          </w:tcPr>
          <w:p w14:paraId="4AA56A81" w14:textId="07EEEA96" w:rsidR="00DA7DC4" w:rsidRPr="006B2C51" w:rsidRDefault="00DA7DC4" w:rsidP="00DA7DC4">
            <w:pPr>
              <w:pStyle w:val="1GAPara"/>
              <w:numPr>
                <w:ilvl w:val="0"/>
                <w:numId w:val="0"/>
              </w:numPr>
              <w:jc w:val="both"/>
              <w:rPr>
                <w:color w:val="000000" w:themeColor="text1"/>
                <w:sz w:val="20"/>
                <w:szCs w:val="20"/>
              </w:rPr>
            </w:pPr>
            <w:r>
              <w:rPr>
                <w:color w:val="000000" w:themeColor="text1"/>
                <w:sz w:val="20"/>
              </w:rPr>
              <w:t xml:space="preserve">Intégration du patrimoine vivant dans </w:t>
            </w:r>
            <w:r w:rsidRPr="000D2420">
              <w:rPr>
                <w:color w:val="000000" w:themeColor="text1"/>
                <w:sz w:val="20"/>
              </w:rPr>
              <w:t xml:space="preserve">l’éducation dans </w:t>
            </w:r>
            <w:r w:rsidR="00F64C76" w:rsidRPr="000D2420">
              <w:rPr>
                <w:color w:val="000000" w:themeColor="text1"/>
                <w:sz w:val="20"/>
              </w:rPr>
              <w:t>deux</w:t>
            </w:r>
            <w:r w:rsidRPr="000D2420">
              <w:rPr>
                <w:color w:val="000000" w:themeColor="text1"/>
                <w:sz w:val="20"/>
              </w:rPr>
              <w:t xml:space="preserve"> Petits États insulaires en développement</w:t>
            </w:r>
            <w:r>
              <w:rPr>
                <w:color w:val="000000" w:themeColor="text1"/>
                <w:sz w:val="20"/>
              </w:rPr>
              <w:t xml:space="preserve"> (PEID) des Caraïbes</w:t>
            </w:r>
          </w:p>
        </w:tc>
        <w:tc>
          <w:tcPr>
            <w:tcW w:w="1843" w:type="dxa"/>
          </w:tcPr>
          <w:p w14:paraId="46F3A16B" w14:textId="13C070DE" w:rsidR="002A562B" w:rsidRPr="006B2C51" w:rsidRDefault="0022556D" w:rsidP="00F67CB4">
            <w:pPr>
              <w:pStyle w:val="1GAPara"/>
              <w:numPr>
                <w:ilvl w:val="0"/>
                <w:numId w:val="0"/>
              </w:numPr>
              <w:spacing w:after="0"/>
              <w:rPr>
                <w:color w:val="000000" w:themeColor="text1"/>
                <w:sz w:val="20"/>
                <w:szCs w:val="20"/>
              </w:rPr>
            </w:pPr>
            <w:r>
              <w:rPr>
                <w:color w:val="000000" w:themeColor="text1"/>
                <w:sz w:val="20"/>
              </w:rPr>
              <w:t>2024-2026</w:t>
            </w:r>
          </w:p>
        </w:tc>
        <w:tc>
          <w:tcPr>
            <w:tcW w:w="1553" w:type="dxa"/>
          </w:tcPr>
          <w:p w14:paraId="0B845573" w14:textId="4D31E7A3" w:rsidR="00DA7DC4" w:rsidRPr="006B2C51" w:rsidRDefault="00687235" w:rsidP="00DA7DC4">
            <w:pPr>
              <w:pStyle w:val="1GAPara"/>
              <w:numPr>
                <w:ilvl w:val="0"/>
                <w:numId w:val="0"/>
              </w:numPr>
              <w:jc w:val="both"/>
              <w:rPr>
                <w:color w:val="000000" w:themeColor="text1"/>
                <w:sz w:val="20"/>
                <w:szCs w:val="20"/>
              </w:rPr>
            </w:pPr>
            <w:hyperlink r:id="rId13" w:history="1">
              <w:r>
                <w:rPr>
                  <w:rStyle w:val="Lienhypertexte"/>
                  <w:sz w:val="20"/>
                </w:rPr>
                <w:t>Page du projet</w:t>
              </w:r>
            </w:hyperlink>
          </w:p>
        </w:tc>
      </w:tr>
      <w:tr w:rsidR="00DA7DC4" w:rsidRPr="006B2C51" w14:paraId="72D9C5CD" w14:textId="77777777" w:rsidTr="00384CD5">
        <w:tc>
          <w:tcPr>
            <w:tcW w:w="562" w:type="dxa"/>
          </w:tcPr>
          <w:p w14:paraId="44FBC40E" w14:textId="280664C8" w:rsidR="00DA7DC4" w:rsidRPr="006B2C51" w:rsidRDefault="00DA7DC4" w:rsidP="00DA7DC4">
            <w:pPr>
              <w:pStyle w:val="1GAPara"/>
              <w:numPr>
                <w:ilvl w:val="0"/>
                <w:numId w:val="0"/>
              </w:numPr>
              <w:jc w:val="both"/>
              <w:rPr>
                <w:sz w:val="20"/>
                <w:szCs w:val="20"/>
              </w:rPr>
            </w:pPr>
            <w:r>
              <w:rPr>
                <w:sz w:val="20"/>
              </w:rPr>
              <w:t>2</w:t>
            </w:r>
          </w:p>
        </w:tc>
        <w:tc>
          <w:tcPr>
            <w:tcW w:w="5103" w:type="dxa"/>
          </w:tcPr>
          <w:p w14:paraId="099D20DC" w14:textId="58B6A26E" w:rsidR="00DA7DC4" w:rsidRPr="006B2C51" w:rsidRDefault="00DA7DC4" w:rsidP="00DA7DC4">
            <w:pPr>
              <w:pStyle w:val="1GAPara"/>
              <w:numPr>
                <w:ilvl w:val="0"/>
                <w:numId w:val="0"/>
              </w:numPr>
              <w:jc w:val="both"/>
              <w:rPr>
                <w:color w:val="000000" w:themeColor="text1"/>
                <w:sz w:val="20"/>
                <w:szCs w:val="20"/>
              </w:rPr>
            </w:pPr>
            <w:r>
              <w:rPr>
                <w:color w:val="000000" w:themeColor="text1"/>
                <w:sz w:val="20"/>
              </w:rPr>
              <w:t xml:space="preserve">Le patrimoine vivant </w:t>
            </w:r>
            <w:r w:rsidRPr="0022556D">
              <w:rPr>
                <w:color w:val="000000" w:themeColor="text1"/>
                <w:sz w:val="20"/>
              </w:rPr>
              <w:t xml:space="preserve">et </w:t>
            </w:r>
            <w:r w:rsidRPr="00F67CB4">
              <w:rPr>
                <w:color w:val="000000" w:themeColor="text1"/>
                <w:sz w:val="20"/>
              </w:rPr>
              <w:t>les</w:t>
            </w:r>
            <w:r w:rsidRPr="0022556D">
              <w:rPr>
                <w:color w:val="000000" w:themeColor="text1"/>
                <w:sz w:val="20"/>
              </w:rPr>
              <w:t xml:space="preserve"> objectifs</w:t>
            </w:r>
            <w:r>
              <w:rPr>
                <w:color w:val="000000" w:themeColor="text1"/>
                <w:sz w:val="20"/>
              </w:rPr>
              <w:t xml:space="preserve"> de développement durable : </w:t>
            </w:r>
            <w:r w:rsidRPr="00F64C76">
              <w:rPr>
                <w:color w:val="000000" w:themeColor="text1"/>
                <w:sz w:val="20"/>
              </w:rPr>
              <w:t xml:space="preserve">sauvegarde du patrimoine culturel immatériel </w:t>
            </w:r>
            <w:r w:rsidR="00F64C76" w:rsidRPr="00F67CB4">
              <w:rPr>
                <w:color w:val="000000" w:themeColor="text1"/>
                <w:sz w:val="20"/>
              </w:rPr>
              <w:t>par</w:t>
            </w:r>
            <w:r w:rsidRPr="00F64C76">
              <w:rPr>
                <w:color w:val="000000" w:themeColor="text1"/>
                <w:sz w:val="20"/>
              </w:rPr>
              <w:t xml:space="preserve"> l’éducation formelle et non formelle dans la région Asie-Pacifique et en Afrique</w:t>
            </w:r>
          </w:p>
        </w:tc>
        <w:tc>
          <w:tcPr>
            <w:tcW w:w="1843" w:type="dxa"/>
          </w:tcPr>
          <w:p w14:paraId="6C024E3E" w14:textId="275B60A7" w:rsidR="00DA7DC4" w:rsidRPr="006B2C51" w:rsidRDefault="0022556D" w:rsidP="00384CD5">
            <w:pPr>
              <w:pStyle w:val="1GAPara"/>
              <w:numPr>
                <w:ilvl w:val="0"/>
                <w:numId w:val="0"/>
              </w:numPr>
              <w:rPr>
                <w:color w:val="000000" w:themeColor="text1"/>
                <w:sz w:val="20"/>
                <w:szCs w:val="20"/>
              </w:rPr>
            </w:pPr>
            <w:r>
              <w:rPr>
                <w:color w:val="000000" w:themeColor="text1"/>
                <w:sz w:val="20"/>
              </w:rPr>
              <w:t>2021-2025</w:t>
            </w:r>
            <w:r w:rsidR="002A562B">
              <w:rPr>
                <w:color w:val="000000" w:themeColor="text1"/>
                <w:sz w:val="20"/>
              </w:rPr>
              <w:t xml:space="preserve"> </w:t>
            </w:r>
          </w:p>
        </w:tc>
        <w:tc>
          <w:tcPr>
            <w:tcW w:w="1553" w:type="dxa"/>
          </w:tcPr>
          <w:p w14:paraId="2F8094D0" w14:textId="5363F081" w:rsidR="00DA7DC4" w:rsidRPr="006B2C51" w:rsidRDefault="00687235" w:rsidP="002936B5">
            <w:pPr>
              <w:pStyle w:val="1GAPara"/>
              <w:numPr>
                <w:ilvl w:val="0"/>
                <w:numId w:val="0"/>
              </w:numPr>
              <w:jc w:val="both"/>
              <w:rPr>
                <w:color w:val="000000" w:themeColor="text1"/>
                <w:sz w:val="20"/>
                <w:szCs w:val="20"/>
              </w:rPr>
            </w:pPr>
            <w:hyperlink r:id="rId14" w:history="1">
              <w:r>
                <w:rPr>
                  <w:rStyle w:val="Lienhypertexte"/>
                  <w:sz w:val="20"/>
                </w:rPr>
                <w:t>Page du projet</w:t>
              </w:r>
            </w:hyperlink>
          </w:p>
        </w:tc>
      </w:tr>
      <w:tr w:rsidR="00BE61E0" w:rsidRPr="006B2C51" w14:paraId="5AB3EF8F" w14:textId="77777777" w:rsidTr="00384CD5">
        <w:tc>
          <w:tcPr>
            <w:tcW w:w="562" w:type="dxa"/>
          </w:tcPr>
          <w:p w14:paraId="4D9CFE68" w14:textId="595A93CB" w:rsidR="00BE61E0" w:rsidRPr="006B2C51" w:rsidRDefault="00DA7DC4" w:rsidP="007F3D62">
            <w:pPr>
              <w:pStyle w:val="1GAPara"/>
              <w:numPr>
                <w:ilvl w:val="0"/>
                <w:numId w:val="0"/>
              </w:numPr>
              <w:jc w:val="both"/>
              <w:rPr>
                <w:sz w:val="20"/>
                <w:szCs w:val="20"/>
              </w:rPr>
            </w:pPr>
            <w:r>
              <w:rPr>
                <w:sz w:val="20"/>
              </w:rPr>
              <w:t>3</w:t>
            </w:r>
          </w:p>
        </w:tc>
        <w:tc>
          <w:tcPr>
            <w:tcW w:w="5103" w:type="dxa"/>
          </w:tcPr>
          <w:p w14:paraId="1AD8C74E" w14:textId="126B57F1" w:rsidR="00BE61E0" w:rsidRPr="006B2C51" w:rsidRDefault="00BE61E0" w:rsidP="007F3D62">
            <w:pPr>
              <w:pStyle w:val="1GAPara"/>
              <w:numPr>
                <w:ilvl w:val="0"/>
                <w:numId w:val="0"/>
              </w:numPr>
              <w:jc w:val="both"/>
              <w:rPr>
                <w:color w:val="000000" w:themeColor="text1"/>
                <w:sz w:val="20"/>
                <w:szCs w:val="20"/>
              </w:rPr>
            </w:pPr>
            <w:r>
              <w:rPr>
                <w:color w:val="000000" w:themeColor="text1"/>
                <w:sz w:val="20"/>
              </w:rPr>
              <w:t>Apprendre avec le patrimoine culturel immatériel pour un avenir durable en Amérique latine et dans les Caraïbes</w:t>
            </w:r>
            <w:r w:rsidR="00DD75AC">
              <w:rPr>
                <w:rStyle w:val="Appelnotedebasdep"/>
                <w:color w:val="000000" w:themeColor="text1"/>
                <w:sz w:val="20"/>
              </w:rPr>
              <w:footnoteReference w:id="1"/>
            </w:r>
          </w:p>
        </w:tc>
        <w:tc>
          <w:tcPr>
            <w:tcW w:w="1843" w:type="dxa"/>
          </w:tcPr>
          <w:p w14:paraId="0962C7EB" w14:textId="36BD4A90" w:rsidR="00BE61E0" w:rsidRPr="006B2C51" w:rsidRDefault="0022556D" w:rsidP="00384CD5">
            <w:pPr>
              <w:pStyle w:val="1GAPara"/>
              <w:numPr>
                <w:ilvl w:val="0"/>
                <w:numId w:val="0"/>
              </w:numPr>
              <w:spacing w:after="0"/>
              <w:rPr>
                <w:color w:val="000000" w:themeColor="text1"/>
                <w:sz w:val="20"/>
                <w:szCs w:val="20"/>
              </w:rPr>
            </w:pPr>
            <w:r w:rsidRPr="00F67CB4">
              <w:rPr>
                <w:color w:val="000000" w:themeColor="text1"/>
                <w:sz w:val="20"/>
              </w:rPr>
              <w:t>2021-2024</w:t>
            </w:r>
          </w:p>
        </w:tc>
        <w:tc>
          <w:tcPr>
            <w:tcW w:w="1553" w:type="dxa"/>
          </w:tcPr>
          <w:p w14:paraId="2D9C27E9" w14:textId="41BD60B1" w:rsidR="00D67614" w:rsidRPr="006B2C51" w:rsidRDefault="00687235" w:rsidP="007F3D62">
            <w:pPr>
              <w:pStyle w:val="1GAPara"/>
              <w:numPr>
                <w:ilvl w:val="0"/>
                <w:numId w:val="0"/>
              </w:numPr>
              <w:jc w:val="both"/>
              <w:rPr>
                <w:color w:val="000000" w:themeColor="text1"/>
                <w:sz w:val="20"/>
                <w:szCs w:val="20"/>
              </w:rPr>
            </w:pPr>
            <w:hyperlink r:id="rId15" w:history="1">
              <w:r>
                <w:rPr>
                  <w:rStyle w:val="Lienhypertexte"/>
                  <w:sz w:val="20"/>
                </w:rPr>
                <w:t>Page du projet</w:t>
              </w:r>
            </w:hyperlink>
          </w:p>
        </w:tc>
      </w:tr>
    </w:tbl>
    <w:p w14:paraId="3BBDC0F1" w14:textId="77777777" w:rsidR="007F3D62" w:rsidRPr="006B2C51" w:rsidRDefault="007F3D62" w:rsidP="007F3D62">
      <w:pPr>
        <w:pStyle w:val="1GAPara"/>
        <w:numPr>
          <w:ilvl w:val="0"/>
          <w:numId w:val="0"/>
        </w:numPr>
        <w:ind w:left="567"/>
        <w:jc w:val="both"/>
      </w:pPr>
    </w:p>
    <w:p w14:paraId="098FF368" w14:textId="5C727ED8" w:rsidR="00AB4A1E" w:rsidRPr="006B2C51" w:rsidRDefault="00AB4A1E" w:rsidP="00F67CB4">
      <w:pPr>
        <w:pStyle w:val="Paragraphedeliste"/>
        <w:keepNext/>
        <w:tabs>
          <w:tab w:val="left" w:pos="567"/>
        </w:tabs>
        <w:snapToGrid w:val="0"/>
        <w:spacing w:before="120" w:after="120" w:line="240" w:lineRule="auto"/>
        <w:ind w:left="0"/>
        <w:jc w:val="both"/>
        <w:rPr>
          <w:b/>
        </w:rPr>
      </w:pPr>
      <w:r>
        <w:rPr>
          <w:rFonts w:ascii="Arial" w:hAnsi="Arial"/>
          <w:b/>
          <w:snapToGrid w:val="0"/>
          <w:sz w:val="22"/>
        </w:rPr>
        <w:lastRenderedPageBreak/>
        <w:t>Principales réalisations dans le cadre de la deuxième priorité de financement pour la période quadriennale 2022-2025</w:t>
      </w:r>
    </w:p>
    <w:p w14:paraId="1AB37B86" w14:textId="02944092" w:rsidR="00347F6D" w:rsidRPr="006B2C51" w:rsidRDefault="0022556D" w:rsidP="00384CD5">
      <w:pPr>
        <w:pStyle w:val="1GAPara"/>
        <w:widowControl w:val="0"/>
        <w:ind w:left="567" w:hanging="567"/>
        <w:jc w:val="both"/>
      </w:pPr>
      <w:r>
        <w:t xml:space="preserve">Les interventions ont </w:t>
      </w:r>
      <w:r w:rsidRPr="0022556D">
        <w:t>généré des résultats positifs importants</w:t>
      </w:r>
      <w:r>
        <w:t xml:space="preserve">, </w:t>
      </w:r>
      <w:r w:rsidR="001405B3">
        <w:t>bénéficiant directement à neuf pays dans trois régions</w:t>
      </w:r>
      <w:r>
        <w:t xml:space="preserve"> </w:t>
      </w:r>
      <w:r w:rsidRPr="0022556D">
        <w:t>et touchant onze autres pays grâce à une enquête</w:t>
      </w:r>
      <w:r w:rsidR="001405B3">
        <w:t xml:space="preserve">, </w:t>
      </w:r>
      <w:r w:rsidRPr="0022556D">
        <w:t>une réunion technique et une publication</w:t>
      </w:r>
      <w:r>
        <w:t xml:space="preserve"> </w:t>
      </w:r>
      <w:r w:rsidRPr="0022556D">
        <w:t>en Amérique latine et dans les Caraïbes</w:t>
      </w:r>
      <w:r>
        <w:t>. L</w:t>
      </w:r>
      <w:r w:rsidR="001405B3">
        <w:t>es principales réalisations dans le cadre de la deuxième priorité de financement au cours de la période quadriennale 2022-2025 peuvent être résumées comme suit :</w:t>
      </w:r>
    </w:p>
    <w:p w14:paraId="29B67522" w14:textId="6DC63DFC" w:rsidR="0090137F" w:rsidRPr="006B2C51" w:rsidRDefault="0090137F" w:rsidP="00384CD5">
      <w:pPr>
        <w:pStyle w:val="1GAPara"/>
        <w:keepNext/>
        <w:numPr>
          <w:ilvl w:val="0"/>
          <w:numId w:val="0"/>
        </w:numPr>
        <w:ind w:firstLine="567"/>
        <w:jc w:val="both"/>
        <w:rPr>
          <w:u w:val="single"/>
        </w:rPr>
      </w:pPr>
      <w:r>
        <w:rPr>
          <w:u w:val="single"/>
        </w:rPr>
        <w:t>Renforcer les capacités et les méthodologies pour soutenir un changement pédagogique</w:t>
      </w:r>
    </w:p>
    <w:p w14:paraId="62ED4BD0" w14:textId="31BF9F45" w:rsidR="00E146A7" w:rsidRPr="006B2C51" w:rsidRDefault="008265BC" w:rsidP="00E809AD">
      <w:pPr>
        <w:pStyle w:val="1GAPara"/>
        <w:keepNext/>
        <w:ind w:left="567" w:hanging="567"/>
        <w:jc w:val="both"/>
      </w:pPr>
      <w:r>
        <w:t>Tous les projets ont intégré le renforcement des capacités pour aider les éducateurs à intégrer le patrimoine vivant dans l’enseignement, en promouvant les valeurs de l’éducation à la citoyenneté mondiale (ECM) telles que le respect de la diversité culturelle et la collaboration. Dans le domaine de l’éducation formelle, vingt-quatre enseignants béninois ont été formés à l’intégration dans diverses matières d’éléments du patrimoine vivant identifiés lors d’un exercice d’inventaire préalable, les résultats obtenus à titre expérimental ayant servi de base à l’expansion nationale</w:t>
      </w:r>
      <w:r w:rsidRPr="00F64C76">
        <w:t xml:space="preserve">. </w:t>
      </w:r>
      <w:r w:rsidR="001522BA" w:rsidRPr="00F64C76">
        <w:t xml:space="preserve">Le projet </w:t>
      </w:r>
      <w:r w:rsidR="00E809AD" w:rsidRPr="00F64C76">
        <w:t>à</w:t>
      </w:r>
      <w:r w:rsidRPr="00F64C76">
        <w:t xml:space="preserve"> Saint-Vincent-et-les-Grenadines et à la Grenade</w:t>
      </w:r>
      <w:r w:rsidR="00E809AD" w:rsidRPr="00F64C76">
        <w:t xml:space="preserve"> donne</w:t>
      </w:r>
      <w:r w:rsidR="00E809AD" w:rsidRPr="00E809AD">
        <w:t xml:space="preserve"> la priorité au renforcement des capacités des enseignants pour réaliser des inventaires communautaires en partenariat avec les écoles, tout en favorisant l’apprentissage entre pairs entre les deux pays.</w:t>
      </w:r>
      <w:r w:rsidR="00E809AD">
        <w:t xml:space="preserve"> </w:t>
      </w:r>
      <w:r>
        <w:t xml:space="preserve">Dans le domaine de l’éducation non formelle, le potentiel des centres d’apprentissage communautaires (CAC) en Asie et dans le Pacifique a été exploré, car ils accueillent chaque année un grand nombre d’apprenants de tous âges. En Thaïlande et au Népal, vingt-neuf CAC ont été aidés à concevoir et à mettre en œuvre des initiatives d’éducation basées sur le patrimoine et à élaborer des plans de sauvegarde. Plusieurs initiatives – comme le projet au Népal, qui consistait à enseigner la vannerie en utilisant des matériaux disponibles localement – ont stimulé les moyens de subsistance locaux. En outre, et en associant le patrimoine vivant à l’éducation formelle et non formelle, </w:t>
      </w:r>
      <w:r w:rsidR="00680537">
        <w:rPr>
          <w:color w:val="000000" w:themeColor="text1"/>
        </w:rPr>
        <w:t xml:space="preserve">quatre-vingt-cinq </w:t>
      </w:r>
      <w:r>
        <w:rPr>
          <w:color w:val="000000" w:themeColor="text1"/>
        </w:rPr>
        <w:t>éducateurs du Chili, de l’Équateur, du Guatemala et du Pérou ont participé à quatre ateliers nationaux de renforcement des capacités sur l’enseignement basé sur les communautés et le patrimoine vivant. Ils ont élaboré soixante-treize plans de cours, dont vingt-quatre ont été testés dans le cadre d’une phase pilote</w:t>
      </w:r>
      <w:r>
        <w:t>.</w:t>
      </w:r>
      <w:r w:rsidR="00E809AD">
        <w:t xml:space="preserve"> </w:t>
      </w:r>
      <w:r w:rsidR="00E809AD" w:rsidRPr="00E809AD">
        <w:t>Les méthodologies issues de l’</w:t>
      </w:r>
      <w:r w:rsidR="00E809AD">
        <w:t>ECM</w:t>
      </w:r>
      <w:r w:rsidR="00E809AD" w:rsidRPr="00E809AD">
        <w:t>, notamment l’apprentissage expérientiel et la réflexion critique, ont renforcé l’engagement.</w:t>
      </w:r>
    </w:p>
    <w:p w14:paraId="3EEFA66C" w14:textId="423FF078" w:rsidR="00A311A4" w:rsidRPr="006B2C51" w:rsidRDefault="0090137F" w:rsidP="00384CD5">
      <w:pPr>
        <w:pStyle w:val="1GAPara"/>
        <w:numPr>
          <w:ilvl w:val="0"/>
          <w:numId w:val="0"/>
        </w:numPr>
        <w:ind w:left="567"/>
        <w:jc w:val="both"/>
        <w:rPr>
          <w:u w:val="single"/>
        </w:rPr>
      </w:pPr>
      <w:r>
        <w:rPr>
          <w:u w:val="single"/>
        </w:rPr>
        <w:t>Soutenir la collaboration interministérielle, l’élaboration de politiques et la mise en réseau</w:t>
      </w:r>
    </w:p>
    <w:p w14:paraId="673395A1" w14:textId="7C8FE7A6" w:rsidR="00EA1DF6" w:rsidRPr="006B2C51" w:rsidRDefault="000B5843" w:rsidP="00664CFF">
      <w:pPr>
        <w:pStyle w:val="1GAPara"/>
        <w:ind w:left="567" w:hanging="567"/>
        <w:jc w:val="both"/>
        <w:rPr>
          <w:color w:val="000000" w:themeColor="text1"/>
        </w:rPr>
      </w:pPr>
      <w:r>
        <w:rPr>
          <w:color w:val="000000" w:themeColor="text1"/>
        </w:rPr>
        <w:t>L’une des principales priorités a été d’intensifier l’action pour obtenir un impact durable, en veillant à ce que les projets individuels soient fermement ancrés dans les systèmes éducatifs pour bénéficier aux générations futures d’apprenants, d’éducateurs et de communautés. Des efforts ont été déployés pour analyser l’intégration actuelle du patrimoine vivant dans l’éducation et pour proposer des recommandations en matière d’élaboration de politiques et de planification afin d’intégrer ce travail dans les systèmes éducatifs</w:t>
      </w:r>
      <w:r w:rsidR="00AF1C8B" w:rsidRPr="006B2C51">
        <w:rPr>
          <w:rStyle w:val="Appelnotedebasdep"/>
          <w:color w:val="000000" w:themeColor="text1"/>
        </w:rPr>
        <w:footnoteReference w:id="2"/>
      </w:r>
      <w:r>
        <w:rPr>
          <w:color w:val="000000" w:themeColor="text1"/>
        </w:rPr>
        <w:t>. Par exemple, le Conseil national de l’éducation (CNE) du Bénin a recommandé que le ministère des Enseignements maternel et primaire (MEMP) présente les résultats des projets pilotes au comité chargé de la réforme de la qualité de l’éducation. En outre, il a été essentiel de promouvoir les partenariats intersectoriels, la collaboration entre les pays et les possibilités d’échange entre les diverses parties prenantes. Les équipes chargées de la mise en œuvre du projet comprenaient des experts des secteurs de l’éducation nationale et de la culture</w:t>
      </w:r>
      <w:r w:rsidR="00A96B79" w:rsidRPr="006B2C51">
        <w:rPr>
          <w:rStyle w:val="Appelnotedebasdep"/>
          <w:color w:val="000000" w:themeColor="text1"/>
        </w:rPr>
        <w:footnoteReference w:id="3"/>
      </w:r>
      <w:r>
        <w:rPr>
          <w:color w:val="000000" w:themeColor="text1"/>
        </w:rPr>
        <w:t xml:space="preserve">. Au niveau régional, les ateliers réunissant des participants de plusieurs pays ont bénéficié d’un large engagement au-delà des partenaires techniques, notamment de la part des détenteurs, de la société civile et des jeunes. </w:t>
      </w:r>
      <w:r>
        <w:t>Par exemple, une réunion technique de deux jours</w:t>
      </w:r>
      <w:r w:rsidR="00680537">
        <w:t>,</w:t>
      </w:r>
      <w:r>
        <w:t xml:space="preserve"> organisée en décembre 2022 a rassemblé des parties prenantes de quinze pays afin d’examiner les expériences pilotes du projet en Amérique latine et dans les Caraïbes, et de générer de nouvelles connaissances pour faire progresser l’enseignement et l’apprentissage du patrimoine vivant.</w:t>
      </w:r>
    </w:p>
    <w:p w14:paraId="557A12F1" w14:textId="34849ADE" w:rsidR="00664CFF" w:rsidRPr="006B2C51" w:rsidRDefault="00EA1DF6" w:rsidP="00384CD5">
      <w:pPr>
        <w:pStyle w:val="1GAPara"/>
        <w:numPr>
          <w:ilvl w:val="0"/>
          <w:numId w:val="0"/>
        </w:numPr>
        <w:ind w:left="567"/>
        <w:jc w:val="both"/>
        <w:rPr>
          <w:color w:val="000000" w:themeColor="text1"/>
          <w:u w:val="single"/>
        </w:rPr>
      </w:pPr>
      <w:r>
        <w:rPr>
          <w:color w:val="000000" w:themeColor="text1"/>
          <w:u w:val="single"/>
        </w:rPr>
        <w:t>Autres réalisations pertinentes du programme</w:t>
      </w:r>
    </w:p>
    <w:p w14:paraId="7B2F609F" w14:textId="76B0F8C2" w:rsidR="00A84091" w:rsidRPr="006B2C51" w:rsidRDefault="00EA1DF6" w:rsidP="00BC7986">
      <w:pPr>
        <w:pStyle w:val="1GAPara"/>
        <w:ind w:left="567" w:hanging="567"/>
        <w:jc w:val="both"/>
      </w:pPr>
      <w:r>
        <w:t>La collaboration avec le secteur de l’éducation a été renforcée conformément au programme intersectoriel 1 de l’UNESCO sur la culture et l’éducation, ce qui a permis d’intégrer la sauvegarde du patrimoine vivant dans les principaux cadres éducatifs internationaux.</w:t>
      </w:r>
      <w:r>
        <w:rPr>
          <w:rFonts w:asciiTheme="minorBidi" w:hAnsiTheme="minorBidi"/>
        </w:rPr>
        <w:t xml:space="preserve"> Par exemple, la </w:t>
      </w:r>
      <w:hyperlink r:id="rId16" w:history="1">
        <w:r>
          <w:rPr>
            <w:rStyle w:val="Lienhypertexte"/>
          </w:rPr>
          <w:t>Recommandation sur l’éducation pour la paix et les droits de l’homme, la compréhension internationale, la coopération, les libertés fondamentales, la citoyenneté mondiale et le développement durable (2023)</w:t>
        </w:r>
      </w:hyperlink>
      <w:r>
        <w:t xml:space="preserve"> souligne le rôle du patrimoine vivant dans la promotion de la compréhension mutuelle, de la solidarité et de la cohésion sociale. De même, le </w:t>
      </w:r>
      <w:hyperlink r:id="rId17" w:history="1">
        <w:r>
          <w:rPr>
            <w:rStyle w:val="Lienhypertexte"/>
            <w:rFonts w:asciiTheme="minorBidi" w:hAnsiTheme="minorBidi"/>
          </w:rPr>
          <w:t>Cadre pour l’éducation culturelle et artistique (2024)</w:t>
        </w:r>
      </w:hyperlink>
      <w:r>
        <w:rPr>
          <w:rFonts w:asciiTheme="minorBidi" w:hAnsiTheme="minorBidi"/>
        </w:rPr>
        <w:t xml:space="preserve"> souligne l’importance de l’apprentissage tout au long de la vie dans le domaine de la culture et des arts dans tous les contextes éducatifs, et la valeur de l’apprentissage dans, par et avec diverses expressions culturelles, y compris les expressions locales et autochtones.</w:t>
      </w:r>
    </w:p>
    <w:p w14:paraId="25437ECE" w14:textId="1F4DE61F" w:rsidR="00BC06EC" w:rsidRPr="006B2C51" w:rsidRDefault="00665ADA" w:rsidP="00BC06EC">
      <w:pPr>
        <w:pStyle w:val="1GAPara"/>
        <w:ind w:left="567" w:hanging="567"/>
        <w:jc w:val="both"/>
      </w:pPr>
      <w:r>
        <w:t xml:space="preserve">Les efforts en amont ont continué à fournir des conseils et des outils aux parties prenantes engagées dans ce domaine, y compris la </w:t>
      </w:r>
      <w:hyperlink r:id="rId18" w:history="1">
        <w:r>
          <w:rPr>
            <w:rStyle w:val="Lienhypertexte"/>
          </w:rPr>
          <w:t>formation</w:t>
        </w:r>
      </w:hyperlink>
      <w:r>
        <w:t xml:space="preserve"> de 112 membres du réseau mondial de facilitateurs en juillet 2025. Conformément à l’approche multimodale du programme de renforcement des capacités, un cours en ligne </w:t>
      </w:r>
      <w:r w:rsidR="00AF78D4">
        <w:t>à rythme libre</w:t>
      </w:r>
      <w:r>
        <w:t xml:space="preserve"> sur le patrimoine vivant et l’éducation a été élaboré conjointement avec le secteur de l’éducation (il sera lancé au cours de la présente session du Comité) par l’intermédiaire de la plateforme d’apprentissage pour la sauvegarde du patrimoine culturel immatériel, rendue publique en mai 2025. En outre, au cours de la période considérée, le </w:t>
      </w:r>
      <w:hyperlink r:id="rId19" w:history="1">
        <w:r>
          <w:rPr>
            <w:rStyle w:val="Lienhypertexte"/>
          </w:rPr>
          <w:t>Centre d’échange d’information sur le patrimoine vivant et l’éducation</w:t>
        </w:r>
      </w:hyperlink>
      <w:r>
        <w:t xml:space="preserve"> a continué à se développer en tant que dépôt d’idées et d’exemples, offrant désormais plus de 130 ressources et projets. Enfin, pour marquer la fin de la période quadriennale, une </w:t>
      </w:r>
      <w:hyperlink r:id="rId20" w:history="1">
        <w:r>
          <w:rPr>
            <w:rStyle w:val="Lienhypertexte"/>
          </w:rPr>
          <w:t>réunion de réflexion</w:t>
        </w:r>
      </w:hyperlink>
      <w:r>
        <w:t xml:space="preserve"> a rassemblé vingt-sept experts de la culture et de l’éducation en juillet 2025, servant de plateforme d’échange sur la mise en œuvre du programme et permettant d’explorer ses orientations futures. </w:t>
      </w:r>
    </w:p>
    <w:p w14:paraId="30F6D943" w14:textId="26D5F869" w:rsidR="00BC06EC" w:rsidRPr="006B2C51" w:rsidRDefault="00BC06EC" w:rsidP="00BC06EC">
      <w:pPr>
        <w:pStyle w:val="1GAPara"/>
        <w:ind w:left="567" w:hanging="567"/>
        <w:jc w:val="both"/>
      </w:pPr>
      <w:r>
        <w:t>Les projets récents soutenus au niveau national ont adopté une approche plus systémique, intégrant dès le départ une collaboration interministérielle. Un exemple notable est celui de la « Sauvegarde du patrimoine culturel immatériel dans l’éducation de base en Namibie et au Zimbabwe</w:t>
      </w:r>
      <w:r w:rsidR="00D5157F" w:rsidRPr="006B2C51">
        <w:rPr>
          <w:rStyle w:val="Appelnotedebasdep"/>
        </w:rPr>
        <w:footnoteReference w:id="4"/>
      </w:r>
      <w:r>
        <w:t> ». De nouvelles initiatives soulignent également l’importance de lier le patrimoine vivant et l’éducation à d’autres domaines d’action dans le cadre de la Convention. Il s’agit notamment des initiatives « Enseigner et apprendre avec le patrimoine vivant en Ukraine</w:t>
      </w:r>
      <w:r w:rsidR="00D5157F" w:rsidRPr="006B2C51">
        <w:rPr>
          <w:rStyle w:val="Appelnotedebasdep"/>
        </w:rPr>
        <w:footnoteReference w:id="5"/>
      </w:r>
      <w:r>
        <w:t> » (basé sur la méthodologie développée dans le projet précédent « Enseigner et apprendre avec le patrimoine vivant</w:t>
      </w:r>
      <w:r w:rsidR="00003438" w:rsidRPr="006B2C51">
        <w:rPr>
          <w:rStyle w:val="Appelnotedebasdep"/>
        </w:rPr>
        <w:footnoteReference w:id="6"/>
      </w:r>
      <w:r>
        <w:t> ») et « Renforcement des capacités pour la sauvegarde du patrimoine culturel immatériel en cas d’urgence dans les Petits États insulaires en développement du Pacifique et des Caraïbes</w:t>
      </w:r>
      <w:r w:rsidR="00003438" w:rsidRPr="006B2C51">
        <w:rPr>
          <w:rStyle w:val="Appelnotedebasdep"/>
        </w:rPr>
        <w:footnoteReference w:id="7"/>
      </w:r>
      <w:r>
        <w:t> » dans des contextes d’urgence, ou « Renforcer les communautés grâce à la culture et à l'éducation</w:t>
      </w:r>
      <w:r w:rsidR="00E766F4" w:rsidRPr="006B2C51">
        <w:rPr>
          <w:rStyle w:val="Appelnotedebasdep"/>
        </w:rPr>
        <w:footnoteReference w:id="8"/>
      </w:r>
      <w:r>
        <w:t> » pour promouvoir des moyens de subsistance durables par le biais d’un enseignement et d’une formation techniques et professionnels fondés sur le patrimoine.</w:t>
      </w:r>
    </w:p>
    <w:p w14:paraId="25316745" w14:textId="77777777" w:rsidR="00A07660" w:rsidRPr="006B2C51" w:rsidRDefault="00A07660" w:rsidP="00384CD5">
      <w:pPr>
        <w:pStyle w:val="1GAPara"/>
        <w:numPr>
          <w:ilvl w:val="0"/>
          <w:numId w:val="0"/>
        </w:numPr>
        <w:rPr>
          <w:b/>
        </w:rPr>
      </w:pPr>
      <w:r>
        <w:rPr>
          <w:b/>
        </w:rPr>
        <w:t>Enseignements tirés de la période quadriennale</w:t>
      </w:r>
    </w:p>
    <w:p w14:paraId="6CD987A3" w14:textId="437D9445" w:rsidR="009B6E85" w:rsidRPr="006B2C51" w:rsidRDefault="009B6E85" w:rsidP="00557B3A">
      <w:pPr>
        <w:pStyle w:val="1GAPara"/>
        <w:ind w:left="567" w:hanging="567"/>
        <w:jc w:val="both"/>
      </w:pPr>
      <w:r>
        <w:t xml:space="preserve">Les enseignements tirés de la priorité de financement actuelle fournissent de précieuses indications </w:t>
      </w:r>
      <w:bookmarkEnd w:id="0"/>
      <w:r>
        <w:t>quant à la manière de développer davantage la sauvegarde du patrimoine culturel immatériel dans l’éducation formelle et non formelle. Notamment :</w:t>
      </w:r>
    </w:p>
    <w:p w14:paraId="468D5402" w14:textId="3A08A831" w:rsidR="006E29AF" w:rsidRPr="006B2C51" w:rsidRDefault="009B6E85" w:rsidP="006E29AF">
      <w:pPr>
        <w:pStyle w:val="1GAPara"/>
        <w:numPr>
          <w:ilvl w:val="2"/>
          <w:numId w:val="2"/>
        </w:numPr>
        <w:ind w:left="1134" w:hanging="567"/>
        <w:jc w:val="both"/>
      </w:pPr>
      <w:r>
        <w:rPr>
          <w:b/>
        </w:rPr>
        <w:t>Le rôle de l’éducation renforcé en tant que moteur d’une éducation de qualité et mesure de sauvegarde essentielle</w:t>
      </w:r>
      <w:r>
        <w:t xml:space="preserve">. Le programme a encouragé la reconnaissance du patrimoine culturel immatériel dans le cadre d’une vision élargie de l’éducation qui est à la fois transformatrice et enracinée dans la diversité culturelle, conformément au mandat interdisciplinaire de l’UNESCO dans le domaine de la culture et de l’éducation. Ainsi, la valeur du patrimoine culturel immatériel pour l’éducation est largement reconnue dans les principales initiatives en matière d’éducation et dans les cadres internationaux. Les projets relevant de la priorité de financement 2 ont également clarifié et renforcé la contribution de la sauvegarde du patrimoine vivant à un enseignement pertinent et de qualité. Cette initiative s’inscrit dans le cadre des priorités suivantes du secteur de l’éducation : (a) relier l’apprentissage en classe à la vie quotidienne des élèves, conformément aux objectifs de l’ECM ; (b) favoriser l’émergence d’apprenants confiants et respectueux de l’environnement pour soutenir l’éducation au développement durable ; et (c) démontrer comment l’intégration des connaissances et savoir-faire des communautés dans l’éducation </w:t>
      </w:r>
      <w:r w:rsidR="0089693B">
        <w:t>tout au long de la vie</w:t>
      </w:r>
      <w:r>
        <w:t xml:space="preserve"> et </w:t>
      </w:r>
      <w:r w:rsidR="0089693B">
        <w:t xml:space="preserve">l’éducation </w:t>
      </w:r>
      <w:r>
        <w:t>professionnelle peut soutenir les moyens de subsistance de la communauté.</w:t>
      </w:r>
    </w:p>
    <w:p w14:paraId="67BD8672" w14:textId="21EFA6CA" w:rsidR="00B16C82" w:rsidRPr="006B2C51" w:rsidRDefault="009B6E85" w:rsidP="009B6E85">
      <w:pPr>
        <w:pStyle w:val="1GAPara"/>
        <w:numPr>
          <w:ilvl w:val="2"/>
          <w:numId w:val="2"/>
        </w:numPr>
        <w:ind w:left="1134" w:hanging="567"/>
        <w:jc w:val="both"/>
      </w:pPr>
      <w:r>
        <w:rPr>
          <w:b/>
        </w:rPr>
        <w:t xml:space="preserve">Le seul renforcement des capacités ne suffit pas à garantir la durabilité. </w:t>
      </w:r>
      <w:r>
        <w:t>Les efforts visant à intégrer le patrimoine vivant dans l’éducation doivent être complétés par des actions de sensibilisation au niveau décisionnel et technique afin de promouvoir des modèles pédagogiques qui reconnaissent les détenteurs de culture comme des sources essentielles de savoir. Dans le même temps, l’évaluation des résultats d’apprentissage liés à l’enseignement et à l’apprentissage du patrimoine vivant reste un défi important qu’il convient de relever pour obtenir une plus grande reconnaissance dans les programmes éducatifs et les cadres nationaux. La collecte systématique de données et le partage des connaissances continuent également de poser des difficultés au niveau national. La collaboration limitée avec les ministères de l’Éducation est un autre problème récurrent, malgré les exemples positifs de collaboration interministérielle observés dans le cadre du programme. À l’avenir, un soutien global sera nécessaire par le biais d’actions en amont et d’interventions opérationnelles.</w:t>
      </w:r>
    </w:p>
    <w:p w14:paraId="68EE82FF" w14:textId="3A172279" w:rsidR="0007117A" w:rsidRPr="006B2C51" w:rsidRDefault="0080309B" w:rsidP="00384CD5">
      <w:pPr>
        <w:pStyle w:val="1GAPara"/>
        <w:numPr>
          <w:ilvl w:val="2"/>
          <w:numId w:val="2"/>
        </w:numPr>
        <w:ind w:left="1134" w:hanging="567"/>
        <w:jc w:val="both"/>
        <w:rPr>
          <w:color w:val="000000" w:themeColor="text1"/>
        </w:rPr>
      </w:pPr>
      <w:r>
        <w:rPr>
          <w:b/>
        </w:rPr>
        <w:t xml:space="preserve">L’intégration du patrimoine vivant dans l’éducation peut jouer un rôle transversal. </w:t>
      </w:r>
      <w:r>
        <w:t xml:space="preserve">À la lumière des progrès réalisés et des opportunités qui apparaissent – renforcées par des jalons tels que la déclaration MONDIACULT 2022 et le premier </w:t>
      </w:r>
      <w:hyperlink r:id="rId21" w:history="1">
        <w:r>
          <w:rPr>
            <w:rStyle w:val="Lienhypertexte"/>
            <w:rFonts w:asciiTheme="minorBidi" w:hAnsiTheme="minorBidi"/>
          </w:rPr>
          <w:t>Rapport mondial sur les politiques culturelles</w:t>
        </w:r>
      </w:hyperlink>
      <w:r>
        <w:t xml:space="preserve"> de l’UNESCO (2025), qui soulignent tous deux l’importance d’une éducation s’adaptant au contexte intégrant le patrimoine culturel – l’élan acquis grâce au programme sera poursuivi conformément au développement de la Convention de 2003. En référence aux Directives opérationnelles de la Convention, en particulier le chapitre VI sur la sauvegarde du patrimoine culturel immatériel et le développement durable, des intersections doivent être explorées sur la façon dont l’intégration de la sauvegarde du patrimoine vivant dans l’éducation peut faire progresser les initiatives thématiques en cours et les domaines d’intervention clés dans le cadre de la Convention, tels que les situations d’urgence, les dimensions économiques, le changement climatique, les contextes </w:t>
      </w:r>
      <w:r w:rsidRPr="00AA2FD9">
        <w:t>urbains</w:t>
      </w:r>
      <w:r w:rsidR="00AC12E7" w:rsidRPr="00AA2FD9">
        <w:t xml:space="preserve">, </w:t>
      </w:r>
      <w:r w:rsidRPr="00AA2FD9">
        <w:t xml:space="preserve">les </w:t>
      </w:r>
      <w:r w:rsidR="00AA2FD9" w:rsidRPr="00AA2FD9">
        <w:t>pratiques alimentaires</w:t>
      </w:r>
      <w:r w:rsidR="00AC12E7" w:rsidRPr="00AA2FD9">
        <w:t xml:space="preserve"> et</w:t>
      </w:r>
      <w:r w:rsidR="00AC12E7">
        <w:t xml:space="preserve"> l’élaboration d’approches inclusives</w:t>
      </w:r>
      <w:r>
        <w:t>.</w:t>
      </w:r>
    </w:p>
    <w:p w14:paraId="7764727C" w14:textId="197CEC9E" w:rsidR="00546B24" w:rsidRPr="006B2C51" w:rsidRDefault="006E29AF" w:rsidP="00384CD5">
      <w:pPr>
        <w:pStyle w:val="1GAPara"/>
        <w:keepNext/>
        <w:numPr>
          <w:ilvl w:val="2"/>
          <w:numId w:val="2"/>
        </w:numPr>
        <w:ind w:left="1134" w:hanging="567"/>
        <w:jc w:val="both"/>
        <w:rPr>
          <w:color w:val="000000" w:themeColor="text1"/>
        </w:rPr>
      </w:pPr>
      <w:r>
        <w:rPr>
          <w:color w:val="000000" w:themeColor="text1"/>
        </w:rPr>
        <w:t xml:space="preserve">Si les contributions volontaires supplémentaires ont permis d’obtenir de nombreux résultats positifs, il subsiste un décalage entre les attentes élevées liées à la deuxième priorité de financement et le nombre et l’ampleur limités des contributions reçues. Le plan proposé consiste à poursuivre le développement du programme dans le cadre des domaines d’intervention de la Convention (au lieu de le maintenir en tant que priorité de financement pour la prochaine période quadriennale). À cet égard, </w:t>
      </w:r>
      <w:r>
        <w:rPr>
          <w:b/>
          <w:color w:val="000000" w:themeColor="text1"/>
        </w:rPr>
        <w:t>un financement soutenu et accru sera essentiel pour faire avancer le travail de transformation de l’apprentissage avec le patrimoine vivant</w:t>
      </w:r>
      <w:r>
        <w:rPr>
          <w:color w:val="000000" w:themeColor="text1"/>
        </w:rPr>
        <w:t>, à la fois sous l’égide du travail intersectoriel en cours de l’UNESCO et en relation avec d’autres domaines d’intervention dans le cadre de la Convention. Les domaines d’action sont les suivants : (a) </w:t>
      </w:r>
      <w:r w:rsidR="00AC12E7">
        <w:rPr>
          <w:color w:val="000000" w:themeColor="text1"/>
        </w:rPr>
        <w:t>développer</w:t>
      </w:r>
      <w:r>
        <w:rPr>
          <w:color w:val="000000" w:themeColor="text1"/>
        </w:rPr>
        <w:t xml:space="preserve"> les capacités, les outils et les méthodologies adaptés aux différents contextes et niveaux d’enseignement ; (b) faire progresser des domaines moins explorés tels que l’éducation et la formation techniques et professionnelles ainsi que l’éducation non formelle ; </w:t>
      </w:r>
      <w:r w:rsidR="00AC12E7" w:rsidRPr="00AC12E7">
        <w:rPr>
          <w:color w:val="000000" w:themeColor="text1"/>
        </w:rPr>
        <w:t>c) fournir une assistance technique pour les évaluations des besoins, les activités pilotes et l’élaboration de stratégies au niveau national afin d’intégrer ces approches dans les systèmes éducatifs ; d) soutenir le dialogue interministériel pour garantir une élaboration et une mise en œuvre des politiques de manière coordonnée et inclusive ;</w:t>
      </w:r>
      <w:r w:rsidR="00AC12E7">
        <w:rPr>
          <w:color w:val="000000" w:themeColor="text1"/>
        </w:rPr>
        <w:t xml:space="preserve"> </w:t>
      </w:r>
      <w:r>
        <w:rPr>
          <w:color w:val="000000" w:themeColor="text1"/>
        </w:rPr>
        <w:t>et (</w:t>
      </w:r>
      <w:r w:rsidR="00AC12E7">
        <w:rPr>
          <w:color w:val="000000" w:themeColor="text1"/>
        </w:rPr>
        <w:t>e</w:t>
      </w:r>
      <w:r>
        <w:rPr>
          <w:color w:val="000000" w:themeColor="text1"/>
        </w:rPr>
        <w:t>) </w:t>
      </w:r>
      <w:r w:rsidR="00AC12E7">
        <w:rPr>
          <w:color w:val="000000" w:themeColor="text1"/>
        </w:rPr>
        <w:t xml:space="preserve">sensibiliser et </w:t>
      </w:r>
      <w:r>
        <w:rPr>
          <w:color w:val="000000" w:themeColor="text1"/>
        </w:rPr>
        <w:t>renforcer la communication, la mise en réseau et les échanges interrégionaux.</w:t>
      </w:r>
    </w:p>
    <w:p w14:paraId="775BB83A" w14:textId="602E16F9" w:rsidR="0096247E" w:rsidRPr="006B2C51" w:rsidRDefault="0096247E" w:rsidP="00B16C82">
      <w:pPr>
        <w:pStyle w:val="1GAPara"/>
        <w:numPr>
          <w:ilvl w:val="0"/>
          <w:numId w:val="0"/>
        </w:numPr>
        <w:jc w:val="both"/>
      </w:pPr>
    </w:p>
    <w:sectPr w:rsidR="0096247E" w:rsidRPr="006B2C51" w:rsidSect="002938F2">
      <w:headerReference w:type="even" r:id="rId22"/>
      <w:headerReference w:type="default" r:id="rId23"/>
      <w:headerReference w:type="first" r:id="rId2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969A" w14:textId="77777777" w:rsidR="00C57B89" w:rsidRDefault="00C57B89" w:rsidP="002938F2">
      <w:r>
        <w:separator/>
      </w:r>
    </w:p>
    <w:p w14:paraId="0B2E456D" w14:textId="77777777" w:rsidR="00C57B89" w:rsidRDefault="00C57B89"/>
  </w:endnote>
  <w:endnote w:type="continuationSeparator" w:id="0">
    <w:p w14:paraId="2DFDCAAC" w14:textId="77777777" w:rsidR="00C57B89" w:rsidRDefault="00C57B89" w:rsidP="002938F2">
      <w:r>
        <w:continuationSeparator/>
      </w:r>
    </w:p>
    <w:p w14:paraId="7C54F6B5" w14:textId="77777777" w:rsidR="00C57B89" w:rsidRDefault="00C57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00DE" w14:textId="77777777" w:rsidR="00C57B89" w:rsidRDefault="00C57B89" w:rsidP="002938F2">
      <w:r>
        <w:separator/>
      </w:r>
    </w:p>
  </w:footnote>
  <w:footnote w:type="continuationSeparator" w:id="0">
    <w:p w14:paraId="3E1A4076" w14:textId="77777777" w:rsidR="00C57B89" w:rsidRDefault="00C57B89" w:rsidP="002938F2">
      <w:r>
        <w:continuationSeparator/>
      </w:r>
    </w:p>
    <w:p w14:paraId="1027CB08" w14:textId="77777777" w:rsidR="00C57B89" w:rsidRDefault="00C57B89"/>
  </w:footnote>
  <w:footnote w:id="1">
    <w:p w14:paraId="3B19850E" w14:textId="2141C30D" w:rsidR="00DD75AC" w:rsidRPr="00DD75AC" w:rsidRDefault="00DD75AC">
      <w:pPr>
        <w:pStyle w:val="Notedebasdepage"/>
      </w:pPr>
      <w:r>
        <w:rPr>
          <w:rStyle w:val="Appelnotedebasdep"/>
        </w:rPr>
        <w:footnoteRef/>
      </w:r>
      <w:r>
        <w:t xml:space="preserve"> </w:t>
      </w:r>
      <w:r w:rsidRPr="00F67CB4">
        <w:rPr>
          <w:rFonts w:ascii="Arial" w:hAnsi="Arial"/>
          <w:sz w:val="18"/>
        </w:rPr>
        <w:t>Titre initial : « Sauvegarde du patrimoine culturel immatériel par l’éducation formelle et non formelle en Amérique latine et dans les Caraïbes »</w:t>
      </w:r>
    </w:p>
  </w:footnote>
  <w:footnote w:id="2">
    <w:p w14:paraId="7B5E82AB" w14:textId="5FD6A08F" w:rsidR="00AF1C8B" w:rsidRPr="00384CD5" w:rsidRDefault="00AF1C8B">
      <w:pPr>
        <w:pStyle w:val="Notedebasdepage"/>
        <w:rPr>
          <w:rFonts w:ascii="Arial" w:hAnsi="Arial" w:cs="Arial"/>
          <w:sz w:val="18"/>
          <w:szCs w:val="18"/>
        </w:rPr>
      </w:pPr>
      <w:r>
        <w:rPr>
          <w:rStyle w:val="Appelnotedebasdep"/>
          <w:rFonts w:ascii="Arial" w:hAnsi="Arial" w:cs="Arial"/>
          <w:sz w:val="18"/>
          <w:szCs w:val="18"/>
        </w:rPr>
        <w:footnoteRef/>
      </w:r>
      <w:r>
        <w:rPr>
          <w:rFonts w:ascii="Arial" w:hAnsi="Arial"/>
          <w:sz w:val="18"/>
        </w:rPr>
        <w:t> Deux études ont été élaborées en 2021 afin d’examiner le statut des CAC au Népal et en Thaïlande, et d’identifier les points d’entrée potentiels pour intégrer la sauvegarde du patrimoine vivant dans les systèmes d’éducation non formelle.</w:t>
      </w:r>
    </w:p>
  </w:footnote>
  <w:footnote w:id="3">
    <w:p w14:paraId="624E069F" w14:textId="785038CD" w:rsidR="00A96B79" w:rsidRPr="00384CD5" w:rsidRDefault="00A96B79">
      <w:pPr>
        <w:pStyle w:val="Notedebasdepage"/>
      </w:pPr>
      <w:r>
        <w:rPr>
          <w:rStyle w:val="Appelnotedebasdep"/>
          <w:rFonts w:ascii="Arial" w:hAnsi="Arial" w:cs="Arial"/>
          <w:sz w:val="18"/>
          <w:szCs w:val="18"/>
        </w:rPr>
        <w:footnoteRef/>
      </w:r>
      <w:r>
        <w:rPr>
          <w:rFonts w:ascii="Arial" w:hAnsi="Arial"/>
          <w:sz w:val="18"/>
        </w:rPr>
        <w:t> </w:t>
      </w:r>
      <w:r>
        <w:rPr>
          <w:rFonts w:ascii="Arial" w:hAnsi="Arial"/>
          <w:color w:val="000000" w:themeColor="text1"/>
          <w:sz w:val="18"/>
        </w:rPr>
        <w:t>Au Bénin, la Direction du patrimoine culturel (DPC) du ministère de la Culture et l’Institut national pour la formation et la recherche en éducation (INFRE) du ministère de l’Éducation de base ont été impliqués tout au long du processus, favorisant une compréhension commune des opportunités et des défis liés à l’établissement d’un lien entre le patrimoine vivant et l’éducation.</w:t>
      </w:r>
    </w:p>
  </w:footnote>
  <w:footnote w:id="4">
    <w:p w14:paraId="3245C826" w14:textId="224E5099" w:rsidR="00D5157F" w:rsidRPr="00384CD5" w:rsidRDefault="00D5157F">
      <w:pPr>
        <w:pStyle w:val="Notedebasdepage"/>
        <w:rPr>
          <w:rFonts w:ascii="Arial" w:hAnsi="Arial" w:cs="Arial"/>
          <w:sz w:val="18"/>
          <w:szCs w:val="18"/>
        </w:rPr>
      </w:pPr>
      <w:r>
        <w:rPr>
          <w:rStyle w:val="Appelnotedebasdep"/>
          <w:rFonts w:ascii="Arial" w:hAnsi="Arial" w:cs="Arial"/>
          <w:sz w:val="18"/>
          <w:szCs w:val="18"/>
        </w:rPr>
        <w:footnoteRef/>
      </w:r>
      <w:r>
        <w:rPr>
          <w:rFonts w:ascii="Arial" w:hAnsi="Arial"/>
          <w:sz w:val="18"/>
        </w:rPr>
        <w:t> Voir l</w:t>
      </w:r>
      <w:r w:rsidR="009960A8">
        <w:rPr>
          <w:rFonts w:ascii="Arial" w:hAnsi="Arial"/>
          <w:sz w:val="18"/>
        </w:rPr>
        <w:t>a</w:t>
      </w:r>
      <w:r>
        <w:rPr>
          <w:rFonts w:ascii="Arial" w:hAnsi="Arial"/>
          <w:sz w:val="18"/>
        </w:rPr>
        <w:t xml:space="preserve"> </w:t>
      </w:r>
      <w:hyperlink r:id="rId1" w:history="1">
        <w:r>
          <w:rPr>
            <w:rStyle w:val="Lienhypertexte"/>
            <w:rFonts w:ascii="Arial" w:hAnsi="Arial"/>
            <w:sz w:val="18"/>
          </w:rPr>
          <w:t>page</w:t>
        </w:r>
      </w:hyperlink>
      <w:r w:rsidR="009960A8">
        <w:t xml:space="preserve"> du </w:t>
      </w:r>
      <w:r w:rsidR="009960A8">
        <w:rPr>
          <w:rFonts w:ascii="Arial" w:hAnsi="Arial"/>
          <w:sz w:val="18"/>
        </w:rPr>
        <w:t>projet</w:t>
      </w:r>
      <w:r>
        <w:rPr>
          <w:rFonts w:ascii="Arial" w:hAnsi="Arial"/>
          <w:sz w:val="18"/>
        </w:rPr>
        <w:t>.</w:t>
      </w:r>
    </w:p>
  </w:footnote>
  <w:footnote w:id="5">
    <w:p w14:paraId="72C26064" w14:textId="3176B3AE" w:rsidR="00D5157F" w:rsidRPr="00384CD5" w:rsidRDefault="00D5157F">
      <w:pPr>
        <w:pStyle w:val="Notedebasdepage"/>
        <w:rPr>
          <w:rFonts w:ascii="Arial" w:hAnsi="Arial" w:cs="Arial"/>
          <w:sz w:val="18"/>
          <w:szCs w:val="18"/>
        </w:rPr>
      </w:pPr>
      <w:r>
        <w:rPr>
          <w:rStyle w:val="Appelnotedebasdep"/>
          <w:rFonts w:ascii="Arial" w:hAnsi="Arial" w:cs="Arial"/>
          <w:sz w:val="18"/>
          <w:szCs w:val="18"/>
        </w:rPr>
        <w:footnoteRef/>
      </w:r>
      <w:r>
        <w:rPr>
          <w:rFonts w:ascii="Arial" w:hAnsi="Arial"/>
          <w:sz w:val="18"/>
        </w:rPr>
        <w:t> Voir l</w:t>
      </w:r>
      <w:r w:rsidR="009960A8">
        <w:rPr>
          <w:rFonts w:ascii="Arial" w:hAnsi="Arial"/>
          <w:sz w:val="18"/>
        </w:rPr>
        <w:t>a</w:t>
      </w:r>
      <w:r>
        <w:rPr>
          <w:rFonts w:ascii="Arial" w:hAnsi="Arial"/>
          <w:sz w:val="18"/>
        </w:rPr>
        <w:t xml:space="preserve"> </w:t>
      </w:r>
      <w:hyperlink r:id="rId2" w:history="1">
        <w:r>
          <w:rPr>
            <w:rStyle w:val="Lienhypertexte"/>
            <w:rFonts w:ascii="Arial" w:hAnsi="Arial"/>
            <w:sz w:val="18"/>
          </w:rPr>
          <w:t>page</w:t>
        </w:r>
      </w:hyperlink>
      <w:r w:rsidR="009960A8">
        <w:t xml:space="preserve"> du </w:t>
      </w:r>
      <w:r w:rsidR="009960A8">
        <w:rPr>
          <w:rFonts w:ascii="Arial" w:hAnsi="Arial"/>
          <w:sz w:val="18"/>
        </w:rPr>
        <w:t>projet</w:t>
      </w:r>
      <w:r>
        <w:rPr>
          <w:rFonts w:ascii="Arial" w:hAnsi="Arial"/>
          <w:sz w:val="18"/>
        </w:rPr>
        <w:t>.</w:t>
      </w:r>
    </w:p>
  </w:footnote>
  <w:footnote w:id="6">
    <w:p w14:paraId="32154972" w14:textId="31D7F999" w:rsidR="00003438" w:rsidRPr="00384CD5" w:rsidRDefault="00003438">
      <w:pPr>
        <w:pStyle w:val="Notedebasdepage"/>
        <w:rPr>
          <w:rFonts w:ascii="Arial" w:hAnsi="Arial" w:cs="Arial"/>
          <w:sz w:val="18"/>
          <w:szCs w:val="18"/>
        </w:rPr>
      </w:pPr>
      <w:r>
        <w:rPr>
          <w:rStyle w:val="Appelnotedebasdep"/>
          <w:rFonts w:ascii="Arial" w:hAnsi="Arial" w:cs="Arial"/>
          <w:sz w:val="18"/>
          <w:szCs w:val="18"/>
        </w:rPr>
        <w:footnoteRef/>
      </w:r>
      <w:r>
        <w:rPr>
          <w:rFonts w:ascii="Arial" w:hAnsi="Arial"/>
          <w:sz w:val="18"/>
        </w:rPr>
        <w:t> Voir l</w:t>
      </w:r>
      <w:r w:rsidR="009960A8">
        <w:rPr>
          <w:rFonts w:ascii="Arial" w:hAnsi="Arial"/>
          <w:sz w:val="18"/>
        </w:rPr>
        <w:t>a</w:t>
      </w:r>
      <w:r>
        <w:rPr>
          <w:rFonts w:ascii="Arial" w:hAnsi="Arial"/>
          <w:sz w:val="18"/>
        </w:rPr>
        <w:t xml:space="preserve"> </w:t>
      </w:r>
      <w:hyperlink r:id="rId3" w:history="1">
        <w:r>
          <w:rPr>
            <w:rStyle w:val="Lienhypertexte"/>
            <w:rFonts w:ascii="Arial" w:hAnsi="Arial"/>
            <w:sz w:val="18"/>
          </w:rPr>
          <w:t>page</w:t>
        </w:r>
      </w:hyperlink>
      <w:r w:rsidR="009960A8">
        <w:t xml:space="preserve"> du </w:t>
      </w:r>
      <w:r w:rsidR="009960A8">
        <w:rPr>
          <w:rFonts w:ascii="Arial" w:hAnsi="Arial"/>
          <w:sz w:val="18"/>
        </w:rPr>
        <w:t>projet</w:t>
      </w:r>
      <w:r>
        <w:rPr>
          <w:rFonts w:ascii="Arial" w:hAnsi="Arial"/>
          <w:sz w:val="18"/>
        </w:rPr>
        <w:t>.</w:t>
      </w:r>
    </w:p>
  </w:footnote>
  <w:footnote w:id="7">
    <w:p w14:paraId="4CDBB9A2" w14:textId="458F1ED3" w:rsidR="00003438" w:rsidRPr="00384CD5" w:rsidRDefault="00003438">
      <w:pPr>
        <w:pStyle w:val="Notedebasdepage"/>
        <w:rPr>
          <w:rFonts w:ascii="Arial" w:hAnsi="Arial" w:cs="Arial"/>
          <w:sz w:val="18"/>
          <w:szCs w:val="18"/>
        </w:rPr>
      </w:pPr>
      <w:r>
        <w:rPr>
          <w:rStyle w:val="Appelnotedebasdep"/>
          <w:rFonts w:ascii="Arial" w:hAnsi="Arial" w:cs="Arial"/>
          <w:sz w:val="18"/>
          <w:szCs w:val="18"/>
        </w:rPr>
        <w:footnoteRef/>
      </w:r>
      <w:r>
        <w:rPr>
          <w:rFonts w:ascii="Arial" w:hAnsi="Arial"/>
          <w:sz w:val="18"/>
        </w:rPr>
        <w:t> Voir l</w:t>
      </w:r>
      <w:r w:rsidR="009960A8">
        <w:rPr>
          <w:rFonts w:ascii="Arial" w:hAnsi="Arial"/>
          <w:sz w:val="18"/>
        </w:rPr>
        <w:t xml:space="preserve">a </w:t>
      </w:r>
      <w:hyperlink r:id="rId4" w:history="1">
        <w:r>
          <w:rPr>
            <w:rStyle w:val="Lienhypertexte"/>
            <w:rFonts w:ascii="Arial" w:hAnsi="Arial"/>
            <w:sz w:val="18"/>
          </w:rPr>
          <w:t>page</w:t>
        </w:r>
      </w:hyperlink>
      <w:r w:rsidR="009960A8">
        <w:t xml:space="preserve"> du </w:t>
      </w:r>
      <w:r w:rsidR="009960A8">
        <w:rPr>
          <w:rFonts w:ascii="Arial" w:hAnsi="Arial"/>
          <w:sz w:val="18"/>
        </w:rPr>
        <w:t>projet</w:t>
      </w:r>
      <w:r>
        <w:rPr>
          <w:rFonts w:ascii="Arial" w:hAnsi="Arial"/>
          <w:sz w:val="18"/>
        </w:rPr>
        <w:t>.</w:t>
      </w:r>
    </w:p>
  </w:footnote>
  <w:footnote w:id="8">
    <w:p w14:paraId="2309EF82" w14:textId="1E9E5FFE" w:rsidR="00E766F4" w:rsidRPr="00384CD5" w:rsidRDefault="00E766F4">
      <w:pPr>
        <w:pStyle w:val="Notedebasdepage"/>
      </w:pPr>
      <w:r>
        <w:rPr>
          <w:rStyle w:val="Appelnotedebasdep"/>
          <w:rFonts w:ascii="Arial" w:hAnsi="Arial" w:cs="Arial"/>
          <w:sz w:val="18"/>
          <w:szCs w:val="18"/>
        </w:rPr>
        <w:footnoteRef/>
      </w:r>
      <w:r>
        <w:rPr>
          <w:rFonts w:ascii="Arial" w:hAnsi="Arial"/>
          <w:sz w:val="18"/>
        </w:rPr>
        <w:t> Voir l</w:t>
      </w:r>
      <w:r w:rsidR="009960A8">
        <w:rPr>
          <w:rFonts w:ascii="Arial" w:hAnsi="Arial"/>
          <w:sz w:val="18"/>
        </w:rPr>
        <w:t>a</w:t>
      </w:r>
      <w:r>
        <w:rPr>
          <w:rFonts w:ascii="Arial" w:hAnsi="Arial"/>
          <w:sz w:val="18"/>
        </w:rPr>
        <w:t xml:space="preserve"> </w:t>
      </w:r>
      <w:hyperlink r:id="rId5" w:history="1">
        <w:r>
          <w:rPr>
            <w:rStyle w:val="Lienhypertexte"/>
            <w:rFonts w:ascii="Arial" w:hAnsi="Arial"/>
            <w:sz w:val="18"/>
          </w:rPr>
          <w:t>page</w:t>
        </w:r>
      </w:hyperlink>
      <w:r w:rsidR="009960A8">
        <w:t xml:space="preserve"> du </w:t>
      </w:r>
      <w:r w:rsidR="009960A8">
        <w:rPr>
          <w:rFonts w:ascii="Arial" w:hAnsi="Arial"/>
          <w:sz w:val="18"/>
        </w:rPr>
        <w:t>projet</w:t>
      </w:r>
      <w:r>
        <w:rPr>
          <w:rFonts w:ascii="Arial" w:hAnsi="Arial"/>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6B9C" w14:textId="2251C2E1" w:rsidR="00B6167A" w:rsidRPr="007E4E37" w:rsidRDefault="00FD1941" w:rsidP="009B55AC">
    <w:pPr>
      <w:pStyle w:val="En-tte"/>
      <w:rPr>
        <w:rFonts w:ascii="Arial" w:hAnsi="Arial" w:cs="Arial"/>
      </w:rPr>
    </w:pPr>
    <w:r>
      <w:rPr>
        <w:rFonts w:ascii="Arial" w:hAnsi="Arial"/>
        <w:sz w:val="20"/>
      </w:rPr>
      <w:t xml:space="preserve">LHE/25/20.COM/INF.13.2 </w:t>
    </w:r>
    <w:bookmarkStart w:id="1" w:name="_Hlk206417812"/>
    <w:r>
      <w:rPr>
        <w:rFonts w:ascii="Arial" w:hAnsi="Arial"/>
        <w:sz w:val="20"/>
      </w:rPr>
      <w:t xml:space="preserve">– </w:t>
    </w:r>
    <w:bookmarkEnd w:id="1"/>
    <w:r>
      <w:rPr>
        <w:rFonts w:ascii="Arial" w:hAnsi="Arial"/>
        <w:sz w:val="20"/>
      </w:rPr>
      <w:t xml:space="preserve">page </w:t>
    </w:r>
    <w:r w:rsidR="00B6167A" w:rsidRPr="00D81948">
      <w:rPr>
        <w:rStyle w:val="Numrodepage"/>
        <w:rFonts w:ascii="Arial" w:hAnsi="Arial" w:cs="Arial"/>
        <w:sz w:val="20"/>
      </w:rPr>
      <w:fldChar w:fldCharType="begin"/>
    </w:r>
    <w:r w:rsidR="00B6167A" w:rsidRPr="00D81948">
      <w:rPr>
        <w:rStyle w:val="Numrodepage"/>
        <w:rFonts w:ascii="Arial" w:hAnsi="Arial" w:cs="Arial"/>
        <w:sz w:val="20"/>
      </w:rPr>
      <w:instrText xml:space="preserve"> PAGE </w:instrText>
    </w:r>
    <w:r w:rsidR="00B6167A" w:rsidRPr="00D81948">
      <w:rPr>
        <w:rStyle w:val="Numrodepage"/>
        <w:rFonts w:ascii="Arial" w:hAnsi="Arial" w:cs="Arial"/>
        <w:sz w:val="20"/>
      </w:rPr>
      <w:fldChar w:fldCharType="separate"/>
    </w:r>
    <w:r w:rsidR="00570814">
      <w:rPr>
        <w:rStyle w:val="Numrodepage"/>
        <w:rFonts w:ascii="Arial" w:hAnsi="Arial" w:cs="Arial"/>
        <w:sz w:val="20"/>
      </w:rPr>
      <w:t>2</w:t>
    </w:r>
    <w:r w:rsidR="00B6167A" w:rsidRPr="00D81948">
      <w:rPr>
        <w:rStyle w:val="Numrodepage"/>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5B8C" w14:textId="35ADEAFC" w:rsidR="00B6167A" w:rsidRPr="007E4E37" w:rsidRDefault="00FD1941" w:rsidP="007D13D9">
    <w:pPr>
      <w:pStyle w:val="En-tte"/>
      <w:ind w:left="2544" w:firstLine="3828"/>
      <w:jc w:val="right"/>
      <w:rPr>
        <w:rFonts w:ascii="Arial" w:hAnsi="Arial" w:cs="Arial"/>
      </w:rPr>
    </w:pPr>
    <w:r>
      <w:rPr>
        <w:rFonts w:ascii="Arial" w:hAnsi="Arial"/>
        <w:sz w:val="20"/>
      </w:rPr>
      <w:t xml:space="preserve">LHE/25/20.COM/INF.13.2 – page </w:t>
    </w:r>
    <w:r w:rsidR="001E4EEB" w:rsidRPr="00EF563B">
      <w:rPr>
        <w:rStyle w:val="Numrodepage"/>
        <w:rFonts w:ascii="Arial" w:hAnsi="Arial" w:cs="Arial"/>
        <w:sz w:val="20"/>
      </w:rPr>
      <w:fldChar w:fldCharType="begin"/>
    </w:r>
    <w:r w:rsidR="001E4EEB" w:rsidRPr="00EF563B">
      <w:rPr>
        <w:rStyle w:val="Numrodepage"/>
        <w:rFonts w:ascii="Arial" w:hAnsi="Arial" w:cs="Arial"/>
        <w:sz w:val="20"/>
      </w:rPr>
      <w:instrText xml:space="preserve"> </w:instrText>
    </w:r>
    <w:r w:rsidR="001E4EEB">
      <w:rPr>
        <w:rStyle w:val="Numrodepage"/>
        <w:rFonts w:ascii="Arial" w:hAnsi="Arial" w:cs="Arial"/>
        <w:sz w:val="20"/>
      </w:rPr>
      <w:instrText>PAGE</w:instrText>
    </w:r>
    <w:r w:rsidR="001E4EEB" w:rsidRPr="00EF563B">
      <w:rPr>
        <w:rStyle w:val="Numrodepage"/>
        <w:rFonts w:ascii="Arial" w:hAnsi="Arial" w:cs="Arial"/>
        <w:sz w:val="20"/>
      </w:rPr>
      <w:instrText xml:space="preserve"> </w:instrText>
    </w:r>
    <w:r w:rsidR="001E4EEB" w:rsidRPr="00EF563B">
      <w:rPr>
        <w:rStyle w:val="Numrodepage"/>
        <w:rFonts w:ascii="Arial" w:hAnsi="Arial" w:cs="Arial"/>
        <w:sz w:val="20"/>
      </w:rPr>
      <w:fldChar w:fldCharType="separate"/>
    </w:r>
    <w:r w:rsidR="00570814">
      <w:rPr>
        <w:rStyle w:val="Numrodepage"/>
        <w:rFonts w:ascii="Arial" w:hAnsi="Arial" w:cs="Arial"/>
        <w:sz w:val="20"/>
      </w:rPr>
      <w:t>3</w:t>
    </w:r>
    <w:r w:rsidR="001E4EEB" w:rsidRPr="00EF563B">
      <w:rPr>
        <w:rStyle w:val="Numrodepage"/>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8CC4" w14:textId="20D63A44" w:rsidR="00B6167A" w:rsidRPr="008724E5" w:rsidRDefault="00883888">
    <w:pPr>
      <w:pStyle w:val="En-tte"/>
    </w:pPr>
    <w:r>
      <w:rPr>
        <w:rFonts w:ascii="Arial" w:hAnsi="Arial" w:cs="Arial"/>
        <w:b/>
        <w:noProof/>
        <w:sz w:val="44"/>
        <w:szCs w:val="44"/>
        <w:lang w:val="pt-PT"/>
      </w:rPr>
      <w:drawing>
        <wp:anchor distT="0" distB="0" distL="114300" distR="114300" simplePos="0" relativeHeight="251659264" behindDoc="0" locked="0" layoutInCell="1" allowOverlap="1" wp14:anchorId="558601CB" wp14:editId="7C6EF374">
          <wp:simplePos x="0" y="0"/>
          <wp:positionH relativeFrom="margin">
            <wp:posOffset>0</wp:posOffset>
          </wp:positionH>
          <wp:positionV relativeFrom="paragraph">
            <wp:posOffset>-55303</wp:posOffset>
          </wp:positionV>
          <wp:extent cx="1710000" cy="1436138"/>
          <wp:effectExtent l="0" t="0" r="5080" b="0"/>
          <wp:wrapSquare wrapText="bothSides"/>
          <wp:docPr id="1"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361EA77B" w:rsidR="00B6167A" w:rsidRPr="00883888" w:rsidRDefault="006E053C" w:rsidP="001943EE">
    <w:pPr>
      <w:pStyle w:val="En-tte"/>
      <w:spacing w:after="520"/>
      <w:jc w:val="right"/>
      <w:rPr>
        <w:rFonts w:ascii="Arial" w:hAnsi="Arial" w:cs="Arial"/>
        <w:b/>
        <w:sz w:val="44"/>
        <w:szCs w:val="44"/>
        <w:lang w:val="pt-BR"/>
      </w:rPr>
    </w:pPr>
    <w:r w:rsidRPr="00883888">
      <w:rPr>
        <w:rFonts w:ascii="Arial" w:hAnsi="Arial"/>
        <w:b/>
        <w:sz w:val="44"/>
        <w:lang w:val="pt-BR"/>
      </w:rPr>
      <w:t>20 COM</w:t>
    </w:r>
  </w:p>
  <w:p w14:paraId="49B0C39B" w14:textId="009B940B" w:rsidR="00B6167A" w:rsidRPr="00E176FD" w:rsidRDefault="00FD1941" w:rsidP="009B55AC">
    <w:pPr>
      <w:spacing w:after="0"/>
      <w:jc w:val="right"/>
      <w:rPr>
        <w:rFonts w:ascii="Arial" w:hAnsi="Arial" w:cs="Arial"/>
        <w:b/>
        <w:szCs w:val="22"/>
        <w:lang w:val="pt-BR"/>
      </w:rPr>
    </w:pPr>
    <w:r w:rsidRPr="00E176FD">
      <w:rPr>
        <w:rFonts w:ascii="Arial" w:hAnsi="Arial"/>
        <w:b/>
        <w:lang w:val="pt-BR"/>
      </w:rPr>
      <w:t>LHE/25/20.COM/INF.13.2</w:t>
    </w:r>
  </w:p>
  <w:p w14:paraId="1D4CE950" w14:textId="314ABEA7" w:rsidR="00B6167A" w:rsidRPr="00E176FD" w:rsidRDefault="00B6167A" w:rsidP="002D396D">
    <w:pPr>
      <w:spacing w:after="0"/>
      <w:jc w:val="right"/>
      <w:rPr>
        <w:rFonts w:ascii="Arial" w:eastAsiaTheme="minorEastAsia" w:hAnsi="Arial" w:cs="Arial"/>
        <w:b/>
        <w:szCs w:val="22"/>
        <w:lang w:val="pt-BR"/>
      </w:rPr>
    </w:pPr>
    <w:bookmarkStart w:id="2" w:name="_Hlk207190290"/>
    <w:r w:rsidRPr="00E176FD">
      <w:rPr>
        <w:rFonts w:ascii="Arial" w:hAnsi="Arial"/>
        <w:b/>
        <w:lang w:val="pt-BR"/>
      </w:rPr>
      <w:t xml:space="preserve">Paris, </w:t>
    </w:r>
    <w:r w:rsidRPr="00F67CB4">
      <w:rPr>
        <w:rFonts w:ascii="Arial" w:hAnsi="Arial"/>
        <w:b/>
        <w:lang w:val="pt-BR"/>
      </w:rPr>
      <w:t xml:space="preserve">le </w:t>
    </w:r>
    <w:r w:rsidR="00875B28">
      <w:rPr>
        <w:rFonts w:ascii="Arial" w:hAnsi="Arial"/>
        <w:b/>
        <w:lang w:val="pt-BR"/>
      </w:rPr>
      <w:t>28</w:t>
    </w:r>
    <w:r w:rsidRPr="00F67CB4">
      <w:rPr>
        <w:rFonts w:ascii="Arial" w:hAnsi="Arial"/>
        <w:b/>
        <w:lang w:val="pt-BR"/>
      </w:rPr>
      <w:t xml:space="preserve"> novembre 2025</w:t>
    </w:r>
  </w:p>
  <w:bookmarkEnd w:id="2"/>
  <w:p w14:paraId="2A9F75AF" w14:textId="28A0396A" w:rsidR="00B6167A" w:rsidRPr="00D81948" w:rsidRDefault="00B6167A" w:rsidP="008F7B13">
    <w:pPr>
      <w:jc w:val="right"/>
      <w:rPr>
        <w:rFonts w:ascii="Arial" w:hAnsi="Arial" w:cs="Arial"/>
        <w:b/>
        <w:szCs w:val="22"/>
      </w:rPr>
    </w:pPr>
    <w:r w:rsidRPr="00E176FD">
      <w:rPr>
        <w:rFonts w:ascii="Arial" w:hAnsi="Arial"/>
        <w:b/>
      </w:rPr>
      <w:t>Original : anglais</w:t>
    </w:r>
  </w:p>
  <w:p w14:paraId="42728953" w14:textId="77777777" w:rsidR="00B6167A" w:rsidRPr="00D81948" w:rsidRDefault="00B616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C75"/>
    <w:multiLevelType w:val="hybridMultilevel"/>
    <w:tmpl w:val="D09EDC88"/>
    <w:lvl w:ilvl="0" w:tplc="0C50CB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252F4670"/>
    <w:multiLevelType w:val="hybridMultilevel"/>
    <w:tmpl w:val="FE54A758"/>
    <w:lvl w:ilvl="0" w:tplc="7DD2525A">
      <w:start w:val="1"/>
      <w:numFmt w:val="bullet"/>
      <w:lvlText w:val=""/>
      <w:lvlJc w:val="left"/>
      <w:pPr>
        <w:ind w:left="720" w:hanging="360"/>
      </w:pPr>
      <w:rPr>
        <w:rFonts w:ascii="Symbol" w:hAnsi="Symbol"/>
      </w:rPr>
    </w:lvl>
    <w:lvl w:ilvl="1" w:tplc="C444EAD8">
      <w:start w:val="1"/>
      <w:numFmt w:val="bullet"/>
      <w:lvlText w:val=""/>
      <w:lvlJc w:val="left"/>
      <w:pPr>
        <w:ind w:left="720" w:hanging="360"/>
      </w:pPr>
      <w:rPr>
        <w:rFonts w:ascii="Symbol" w:hAnsi="Symbol"/>
      </w:rPr>
    </w:lvl>
    <w:lvl w:ilvl="2" w:tplc="15B2C19A">
      <w:start w:val="1"/>
      <w:numFmt w:val="bullet"/>
      <w:lvlText w:val=""/>
      <w:lvlJc w:val="left"/>
      <w:pPr>
        <w:ind w:left="720" w:hanging="360"/>
      </w:pPr>
      <w:rPr>
        <w:rFonts w:ascii="Symbol" w:hAnsi="Symbol"/>
      </w:rPr>
    </w:lvl>
    <w:lvl w:ilvl="3" w:tplc="A66E6E12">
      <w:start w:val="1"/>
      <w:numFmt w:val="bullet"/>
      <w:lvlText w:val=""/>
      <w:lvlJc w:val="left"/>
      <w:pPr>
        <w:ind w:left="720" w:hanging="360"/>
      </w:pPr>
      <w:rPr>
        <w:rFonts w:ascii="Symbol" w:hAnsi="Symbol"/>
      </w:rPr>
    </w:lvl>
    <w:lvl w:ilvl="4" w:tplc="3F8A0F94">
      <w:start w:val="1"/>
      <w:numFmt w:val="bullet"/>
      <w:lvlText w:val=""/>
      <w:lvlJc w:val="left"/>
      <w:pPr>
        <w:ind w:left="720" w:hanging="360"/>
      </w:pPr>
      <w:rPr>
        <w:rFonts w:ascii="Symbol" w:hAnsi="Symbol"/>
      </w:rPr>
    </w:lvl>
    <w:lvl w:ilvl="5" w:tplc="F0FC8E0A">
      <w:start w:val="1"/>
      <w:numFmt w:val="bullet"/>
      <w:lvlText w:val=""/>
      <w:lvlJc w:val="left"/>
      <w:pPr>
        <w:ind w:left="720" w:hanging="360"/>
      </w:pPr>
      <w:rPr>
        <w:rFonts w:ascii="Symbol" w:hAnsi="Symbol"/>
      </w:rPr>
    </w:lvl>
    <w:lvl w:ilvl="6" w:tplc="96B291A2">
      <w:start w:val="1"/>
      <w:numFmt w:val="bullet"/>
      <w:lvlText w:val=""/>
      <w:lvlJc w:val="left"/>
      <w:pPr>
        <w:ind w:left="720" w:hanging="360"/>
      </w:pPr>
      <w:rPr>
        <w:rFonts w:ascii="Symbol" w:hAnsi="Symbol"/>
      </w:rPr>
    </w:lvl>
    <w:lvl w:ilvl="7" w:tplc="6A467DA8">
      <w:start w:val="1"/>
      <w:numFmt w:val="bullet"/>
      <w:lvlText w:val=""/>
      <w:lvlJc w:val="left"/>
      <w:pPr>
        <w:ind w:left="720" w:hanging="360"/>
      </w:pPr>
      <w:rPr>
        <w:rFonts w:ascii="Symbol" w:hAnsi="Symbol"/>
      </w:rPr>
    </w:lvl>
    <w:lvl w:ilvl="8" w:tplc="0EF2AA90">
      <w:start w:val="1"/>
      <w:numFmt w:val="bullet"/>
      <w:lvlText w:val=""/>
      <w:lvlJc w:val="left"/>
      <w:pPr>
        <w:ind w:left="720" w:hanging="360"/>
      </w:pPr>
      <w:rPr>
        <w:rFonts w:ascii="Symbol" w:hAnsi="Symbol"/>
      </w:rPr>
    </w:lvl>
  </w:abstractNum>
  <w:abstractNum w:abstractNumId="3" w15:restartNumberingAfterBreak="0">
    <w:nsid w:val="35F07BFE"/>
    <w:multiLevelType w:val="hybridMultilevel"/>
    <w:tmpl w:val="4A922A16"/>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5701BE"/>
    <w:multiLevelType w:val="hybridMultilevel"/>
    <w:tmpl w:val="0280256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A00386E"/>
    <w:multiLevelType w:val="hybridMultilevel"/>
    <w:tmpl w:val="8E1C3B5C"/>
    <w:lvl w:ilvl="0" w:tplc="8286B3C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ED4FAA"/>
    <w:multiLevelType w:val="hybridMultilevel"/>
    <w:tmpl w:val="0AFCE9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274277"/>
    <w:multiLevelType w:val="multilevel"/>
    <w:tmpl w:val="3A6C98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4A2EFE"/>
    <w:multiLevelType w:val="hybridMultilevel"/>
    <w:tmpl w:val="14C88BD6"/>
    <w:lvl w:ilvl="0" w:tplc="3276650A">
      <w:start w:val="1"/>
      <w:numFmt w:val="decimal"/>
      <w:pStyle w:val="TM2"/>
      <w:lvlText w:val="%1."/>
      <w:lvlJc w:val="left"/>
      <w:pPr>
        <w:ind w:left="360" w:hanging="360"/>
      </w:pPr>
      <w:rPr>
        <w:rFonts w:hint="default"/>
        <w:b w:val="0"/>
        <w:bCs w:val="0"/>
        <w:lang w:val="pt-P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8593BA5"/>
    <w:multiLevelType w:val="hybridMultilevel"/>
    <w:tmpl w:val="A77CC47E"/>
    <w:lvl w:ilvl="0" w:tplc="8188B5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C872862"/>
    <w:multiLevelType w:val="hybridMultilevel"/>
    <w:tmpl w:val="A1C0E438"/>
    <w:lvl w:ilvl="0" w:tplc="B62AD86E">
      <w:start w:val="1"/>
      <w:numFmt w:val="upperLetter"/>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81636817">
    <w:abstractNumId w:val="1"/>
  </w:num>
  <w:num w:numId="2" w16cid:durableId="1441948170">
    <w:abstractNumId w:val="3"/>
  </w:num>
  <w:num w:numId="3" w16cid:durableId="1597859722">
    <w:abstractNumId w:val="6"/>
  </w:num>
  <w:num w:numId="4" w16cid:durableId="1855919175">
    <w:abstractNumId w:val="2"/>
  </w:num>
  <w:num w:numId="5" w16cid:durableId="1009915898">
    <w:abstractNumId w:val="0"/>
  </w:num>
  <w:num w:numId="6" w16cid:durableId="1039359462">
    <w:abstractNumId w:val="8"/>
  </w:num>
  <w:num w:numId="7" w16cid:durableId="559365078">
    <w:abstractNumId w:val="4"/>
  </w:num>
  <w:num w:numId="8" w16cid:durableId="1583686218">
    <w:abstractNumId w:val="3"/>
  </w:num>
  <w:num w:numId="9" w16cid:durableId="686978925">
    <w:abstractNumId w:val="3"/>
  </w:num>
  <w:num w:numId="10" w16cid:durableId="1859997981">
    <w:abstractNumId w:val="3"/>
  </w:num>
  <w:num w:numId="11" w16cid:durableId="1742294973">
    <w:abstractNumId w:val="3"/>
  </w:num>
  <w:num w:numId="12" w16cid:durableId="219638248">
    <w:abstractNumId w:val="3"/>
  </w:num>
  <w:num w:numId="13" w16cid:durableId="691077506">
    <w:abstractNumId w:val="3"/>
  </w:num>
  <w:num w:numId="14" w16cid:durableId="471947142">
    <w:abstractNumId w:val="3"/>
  </w:num>
  <w:num w:numId="15" w16cid:durableId="486671157">
    <w:abstractNumId w:val="7"/>
  </w:num>
  <w:num w:numId="16" w16cid:durableId="1485318131">
    <w:abstractNumId w:val="10"/>
  </w:num>
  <w:num w:numId="17" w16cid:durableId="1494566674">
    <w:abstractNumId w:val="3"/>
  </w:num>
  <w:num w:numId="18" w16cid:durableId="1337150398">
    <w:abstractNumId w:val="3"/>
  </w:num>
  <w:num w:numId="19" w16cid:durableId="157498086">
    <w:abstractNumId w:val="9"/>
  </w:num>
  <w:num w:numId="20" w16cid:durableId="1573658183">
    <w:abstractNumId w:val="5"/>
  </w:num>
  <w:num w:numId="21" w16cid:durableId="976642377">
    <w:abstractNumId w:val="3"/>
  </w:num>
  <w:num w:numId="22" w16cid:durableId="1597790883">
    <w:abstractNumId w:val="3"/>
  </w:num>
  <w:num w:numId="23" w16cid:durableId="754716218">
    <w:abstractNumId w:val="3"/>
  </w:num>
  <w:num w:numId="24" w16cid:durableId="150917713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2B72"/>
    <w:rsid w:val="00002E22"/>
    <w:rsid w:val="00003438"/>
    <w:rsid w:val="000047CC"/>
    <w:rsid w:val="00006EBF"/>
    <w:rsid w:val="000071C8"/>
    <w:rsid w:val="000120FD"/>
    <w:rsid w:val="00013E54"/>
    <w:rsid w:val="00014585"/>
    <w:rsid w:val="000160B3"/>
    <w:rsid w:val="00021831"/>
    <w:rsid w:val="00025B58"/>
    <w:rsid w:val="00025C9F"/>
    <w:rsid w:val="00027964"/>
    <w:rsid w:val="00033E32"/>
    <w:rsid w:val="00036209"/>
    <w:rsid w:val="00040A95"/>
    <w:rsid w:val="00047E58"/>
    <w:rsid w:val="000567FC"/>
    <w:rsid w:val="00062DE1"/>
    <w:rsid w:val="00064216"/>
    <w:rsid w:val="00064B73"/>
    <w:rsid w:val="0007117A"/>
    <w:rsid w:val="000720B4"/>
    <w:rsid w:val="00073D20"/>
    <w:rsid w:val="000755E1"/>
    <w:rsid w:val="000828BD"/>
    <w:rsid w:val="00082E25"/>
    <w:rsid w:val="00085541"/>
    <w:rsid w:val="00093063"/>
    <w:rsid w:val="000A0D6F"/>
    <w:rsid w:val="000A34CE"/>
    <w:rsid w:val="000A7D53"/>
    <w:rsid w:val="000B085E"/>
    <w:rsid w:val="000B31D5"/>
    <w:rsid w:val="000B5843"/>
    <w:rsid w:val="000B6E85"/>
    <w:rsid w:val="000B725C"/>
    <w:rsid w:val="000C07D7"/>
    <w:rsid w:val="000C1523"/>
    <w:rsid w:val="000C600E"/>
    <w:rsid w:val="000C65E4"/>
    <w:rsid w:val="000C7101"/>
    <w:rsid w:val="000D2420"/>
    <w:rsid w:val="000D26B6"/>
    <w:rsid w:val="000E01E2"/>
    <w:rsid w:val="000E280C"/>
    <w:rsid w:val="000E3D21"/>
    <w:rsid w:val="000E4A10"/>
    <w:rsid w:val="000E7603"/>
    <w:rsid w:val="000F2316"/>
    <w:rsid w:val="000F29A4"/>
    <w:rsid w:val="000F2A0B"/>
    <w:rsid w:val="000F3231"/>
    <w:rsid w:val="000F3FDE"/>
    <w:rsid w:val="000F67D7"/>
    <w:rsid w:val="001003F7"/>
    <w:rsid w:val="001025E7"/>
    <w:rsid w:val="00106492"/>
    <w:rsid w:val="001064D8"/>
    <w:rsid w:val="00106B72"/>
    <w:rsid w:val="00107284"/>
    <w:rsid w:val="00116981"/>
    <w:rsid w:val="0011750D"/>
    <w:rsid w:val="001202EA"/>
    <w:rsid w:val="00131A60"/>
    <w:rsid w:val="001343E4"/>
    <w:rsid w:val="00134D0D"/>
    <w:rsid w:val="001405B3"/>
    <w:rsid w:val="001412DE"/>
    <w:rsid w:val="00142DEA"/>
    <w:rsid w:val="00142E5E"/>
    <w:rsid w:val="00144A4D"/>
    <w:rsid w:val="00151351"/>
    <w:rsid w:val="0015206F"/>
    <w:rsid w:val="001522BA"/>
    <w:rsid w:val="00152BFF"/>
    <w:rsid w:val="00153678"/>
    <w:rsid w:val="00155912"/>
    <w:rsid w:val="001655A1"/>
    <w:rsid w:val="0017201E"/>
    <w:rsid w:val="00173766"/>
    <w:rsid w:val="00174B39"/>
    <w:rsid w:val="00177280"/>
    <w:rsid w:val="001776B4"/>
    <w:rsid w:val="00186BC0"/>
    <w:rsid w:val="001877E4"/>
    <w:rsid w:val="001943EE"/>
    <w:rsid w:val="001A0C2D"/>
    <w:rsid w:val="001A2B3E"/>
    <w:rsid w:val="001A431C"/>
    <w:rsid w:val="001A4C39"/>
    <w:rsid w:val="001A4D1B"/>
    <w:rsid w:val="001A6314"/>
    <w:rsid w:val="001A6877"/>
    <w:rsid w:val="001A7C07"/>
    <w:rsid w:val="001A7DE1"/>
    <w:rsid w:val="001B2136"/>
    <w:rsid w:val="001B4AE4"/>
    <w:rsid w:val="001B4DE8"/>
    <w:rsid w:val="001C13AC"/>
    <w:rsid w:val="001C1805"/>
    <w:rsid w:val="001C5BA7"/>
    <w:rsid w:val="001C5D56"/>
    <w:rsid w:val="001D0036"/>
    <w:rsid w:val="001D00B5"/>
    <w:rsid w:val="001D1F1C"/>
    <w:rsid w:val="001D3B29"/>
    <w:rsid w:val="001D6A68"/>
    <w:rsid w:val="001E278D"/>
    <w:rsid w:val="001E4EEB"/>
    <w:rsid w:val="001E567F"/>
    <w:rsid w:val="001E6026"/>
    <w:rsid w:val="001E6E4E"/>
    <w:rsid w:val="001F2FA8"/>
    <w:rsid w:val="001F3696"/>
    <w:rsid w:val="001F37CA"/>
    <w:rsid w:val="001F4138"/>
    <w:rsid w:val="001F7997"/>
    <w:rsid w:val="00200DFE"/>
    <w:rsid w:val="00201C4A"/>
    <w:rsid w:val="00204019"/>
    <w:rsid w:val="00204B37"/>
    <w:rsid w:val="0020681E"/>
    <w:rsid w:val="00207B60"/>
    <w:rsid w:val="00207C66"/>
    <w:rsid w:val="002105E4"/>
    <w:rsid w:val="00210F80"/>
    <w:rsid w:val="00220137"/>
    <w:rsid w:val="00220162"/>
    <w:rsid w:val="00220E0E"/>
    <w:rsid w:val="00223DA0"/>
    <w:rsid w:val="002248D5"/>
    <w:rsid w:val="0022556D"/>
    <w:rsid w:val="00230A22"/>
    <w:rsid w:val="00235613"/>
    <w:rsid w:val="00237E43"/>
    <w:rsid w:val="002442CB"/>
    <w:rsid w:val="00246226"/>
    <w:rsid w:val="002545B3"/>
    <w:rsid w:val="00254CB9"/>
    <w:rsid w:val="002552E1"/>
    <w:rsid w:val="00257EC5"/>
    <w:rsid w:val="002606CB"/>
    <w:rsid w:val="00265496"/>
    <w:rsid w:val="0026779F"/>
    <w:rsid w:val="002708BA"/>
    <w:rsid w:val="002713E2"/>
    <w:rsid w:val="0027198B"/>
    <w:rsid w:val="002752AF"/>
    <w:rsid w:val="00281057"/>
    <w:rsid w:val="00283F5B"/>
    <w:rsid w:val="00286B1A"/>
    <w:rsid w:val="00286C0C"/>
    <w:rsid w:val="00290D5F"/>
    <w:rsid w:val="00293277"/>
    <w:rsid w:val="002936B5"/>
    <w:rsid w:val="002938F2"/>
    <w:rsid w:val="0029486A"/>
    <w:rsid w:val="002A4E02"/>
    <w:rsid w:val="002A562B"/>
    <w:rsid w:val="002B04DE"/>
    <w:rsid w:val="002B14B8"/>
    <w:rsid w:val="002B6987"/>
    <w:rsid w:val="002C471A"/>
    <w:rsid w:val="002C5280"/>
    <w:rsid w:val="002C696D"/>
    <w:rsid w:val="002D16BC"/>
    <w:rsid w:val="002D33CD"/>
    <w:rsid w:val="002D396D"/>
    <w:rsid w:val="002D4B43"/>
    <w:rsid w:val="002D56C4"/>
    <w:rsid w:val="002D5F6F"/>
    <w:rsid w:val="002E033B"/>
    <w:rsid w:val="002E63C4"/>
    <w:rsid w:val="002E63C7"/>
    <w:rsid w:val="002F529A"/>
    <w:rsid w:val="00307B6A"/>
    <w:rsid w:val="00310896"/>
    <w:rsid w:val="0031090B"/>
    <w:rsid w:val="003224D4"/>
    <w:rsid w:val="0032652E"/>
    <w:rsid w:val="00331748"/>
    <w:rsid w:val="00335438"/>
    <w:rsid w:val="0033751E"/>
    <w:rsid w:val="00340C1C"/>
    <w:rsid w:val="0034366F"/>
    <w:rsid w:val="00346282"/>
    <w:rsid w:val="00347F6D"/>
    <w:rsid w:val="003528F8"/>
    <w:rsid w:val="00356028"/>
    <w:rsid w:val="0035648A"/>
    <w:rsid w:val="00363995"/>
    <w:rsid w:val="00363FE2"/>
    <w:rsid w:val="00367ADA"/>
    <w:rsid w:val="00370872"/>
    <w:rsid w:val="00373A1F"/>
    <w:rsid w:val="003764B7"/>
    <w:rsid w:val="003765BC"/>
    <w:rsid w:val="003800BE"/>
    <w:rsid w:val="003800F2"/>
    <w:rsid w:val="00384CD5"/>
    <w:rsid w:val="00386AF9"/>
    <w:rsid w:val="00386E70"/>
    <w:rsid w:val="00387044"/>
    <w:rsid w:val="00387E3B"/>
    <w:rsid w:val="00392CDA"/>
    <w:rsid w:val="0039305D"/>
    <w:rsid w:val="00393E4A"/>
    <w:rsid w:val="0039446E"/>
    <w:rsid w:val="003A3AB0"/>
    <w:rsid w:val="003A5874"/>
    <w:rsid w:val="003A62FD"/>
    <w:rsid w:val="003B7467"/>
    <w:rsid w:val="003C07DB"/>
    <w:rsid w:val="003C7065"/>
    <w:rsid w:val="003D2A84"/>
    <w:rsid w:val="003D67C1"/>
    <w:rsid w:val="003D7953"/>
    <w:rsid w:val="003D7A59"/>
    <w:rsid w:val="003E2EB5"/>
    <w:rsid w:val="003E3062"/>
    <w:rsid w:val="003E327E"/>
    <w:rsid w:val="003F02E3"/>
    <w:rsid w:val="003F0748"/>
    <w:rsid w:val="003F5969"/>
    <w:rsid w:val="003F5A7C"/>
    <w:rsid w:val="004079A1"/>
    <w:rsid w:val="004108B6"/>
    <w:rsid w:val="00413779"/>
    <w:rsid w:val="004163DA"/>
    <w:rsid w:val="00422B16"/>
    <w:rsid w:val="00423CC5"/>
    <w:rsid w:val="00424AFF"/>
    <w:rsid w:val="00425E75"/>
    <w:rsid w:val="00427C49"/>
    <w:rsid w:val="00430313"/>
    <w:rsid w:val="00430677"/>
    <w:rsid w:val="0043363C"/>
    <w:rsid w:val="00434269"/>
    <w:rsid w:val="00434773"/>
    <w:rsid w:val="00436B43"/>
    <w:rsid w:val="00440E35"/>
    <w:rsid w:val="00442076"/>
    <w:rsid w:val="004447C8"/>
    <w:rsid w:val="004466FD"/>
    <w:rsid w:val="00447C66"/>
    <w:rsid w:val="00447D3D"/>
    <w:rsid w:val="00450878"/>
    <w:rsid w:val="00450FD7"/>
    <w:rsid w:val="00456616"/>
    <w:rsid w:val="0046335F"/>
    <w:rsid w:val="0046417E"/>
    <w:rsid w:val="00471B34"/>
    <w:rsid w:val="00472939"/>
    <w:rsid w:val="00474673"/>
    <w:rsid w:val="00480B72"/>
    <w:rsid w:val="00483688"/>
    <w:rsid w:val="00484E55"/>
    <w:rsid w:val="004874AA"/>
    <w:rsid w:val="00496C19"/>
    <w:rsid w:val="004970F7"/>
    <w:rsid w:val="00497ED6"/>
    <w:rsid w:val="004A068F"/>
    <w:rsid w:val="004A30F8"/>
    <w:rsid w:val="004A31F9"/>
    <w:rsid w:val="004A6BDA"/>
    <w:rsid w:val="004C465F"/>
    <w:rsid w:val="004C4E70"/>
    <w:rsid w:val="004C5E80"/>
    <w:rsid w:val="004C7581"/>
    <w:rsid w:val="004D1B57"/>
    <w:rsid w:val="004D6129"/>
    <w:rsid w:val="004D71CF"/>
    <w:rsid w:val="004D79D5"/>
    <w:rsid w:val="004E056C"/>
    <w:rsid w:val="004E1841"/>
    <w:rsid w:val="004E2817"/>
    <w:rsid w:val="004E464F"/>
    <w:rsid w:val="004E5B8F"/>
    <w:rsid w:val="004E67DA"/>
    <w:rsid w:val="004F1D6A"/>
    <w:rsid w:val="004F2E1C"/>
    <w:rsid w:val="004F3995"/>
    <w:rsid w:val="004F47D3"/>
    <w:rsid w:val="004F5E0C"/>
    <w:rsid w:val="004F6F62"/>
    <w:rsid w:val="005002D8"/>
    <w:rsid w:val="005016FB"/>
    <w:rsid w:val="00505EB8"/>
    <w:rsid w:val="00506240"/>
    <w:rsid w:val="00506B71"/>
    <w:rsid w:val="005076A1"/>
    <w:rsid w:val="00510478"/>
    <w:rsid w:val="00510789"/>
    <w:rsid w:val="00511D17"/>
    <w:rsid w:val="00511E78"/>
    <w:rsid w:val="005132D1"/>
    <w:rsid w:val="0051699F"/>
    <w:rsid w:val="00517D40"/>
    <w:rsid w:val="00521A71"/>
    <w:rsid w:val="00521CE4"/>
    <w:rsid w:val="005344D1"/>
    <w:rsid w:val="0053627B"/>
    <w:rsid w:val="005414A1"/>
    <w:rsid w:val="00541DDE"/>
    <w:rsid w:val="00542EBC"/>
    <w:rsid w:val="00543C77"/>
    <w:rsid w:val="00546B24"/>
    <w:rsid w:val="00550651"/>
    <w:rsid w:val="00557B3A"/>
    <w:rsid w:val="00560D02"/>
    <w:rsid w:val="005623B4"/>
    <w:rsid w:val="005639BB"/>
    <w:rsid w:val="00570814"/>
    <w:rsid w:val="00576D07"/>
    <w:rsid w:val="00586181"/>
    <w:rsid w:val="005861F5"/>
    <w:rsid w:val="00592048"/>
    <w:rsid w:val="00593CED"/>
    <w:rsid w:val="0059776F"/>
    <w:rsid w:val="005A0B80"/>
    <w:rsid w:val="005A4CC5"/>
    <w:rsid w:val="005A5E87"/>
    <w:rsid w:val="005B1E02"/>
    <w:rsid w:val="005B5A10"/>
    <w:rsid w:val="005B7DC3"/>
    <w:rsid w:val="005C0660"/>
    <w:rsid w:val="005C1260"/>
    <w:rsid w:val="005C6D88"/>
    <w:rsid w:val="005D4876"/>
    <w:rsid w:val="005E38E4"/>
    <w:rsid w:val="005E6F02"/>
    <w:rsid w:val="005E71BB"/>
    <w:rsid w:val="005F5295"/>
    <w:rsid w:val="00601DD6"/>
    <w:rsid w:val="0060216F"/>
    <w:rsid w:val="00603AE6"/>
    <w:rsid w:val="00603F71"/>
    <w:rsid w:val="006154B8"/>
    <w:rsid w:val="00615588"/>
    <w:rsid w:val="00616D0F"/>
    <w:rsid w:val="00617DB6"/>
    <w:rsid w:val="00627E34"/>
    <w:rsid w:val="00630B56"/>
    <w:rsid w:val="00630DCD"/>
    <w:rsid w:val="006331F2"/>
    <w:rsid w:val="006359E7"/>
    <w:rsid w:val="00636760"/>
    <w:rsid w:val="00644244"/>
    <w:rsid w:val="00647978"/>
    <w:rsid w:val="00650511"/>
    <w:rsid w:val="006515C9"/>
    <w:rsid w:val="00652318"/>
    <w:rsid w:val="00652743"/>
    <w:rsid w:val="0065638E"/>
    <w:rsid w:val="006619C4"/>
    <w:rsid w:val="00664CFF"/>
    <w:rsid w:val="00665ADA"/>
    <w:rsid w:val="006667FC"/>
    <w:rsid w:val="0067005F"/>
    <w:rsid w:val="00674F41"/>
    <w:rsid w:val="00680537"/>
    <w:rsid w:val="00684711"/>
    <w:rsid w:val="00687235"/>
    <w:rsid w:val="00690B60"/>
    <w:rsid w:val="00690B6B"/>
    <w:rsid w:val="0069143C"/>
    <w:rsid w:val="00693A25"/>
    <w:rsid w:val="006953CB"/>
    <w:rsid w:val="006A0D86"/>
    <w:rsid w:val="006A1468"/>
    <w:rsid w:val="006A1C6B"/>
    <w:rsid w:val="006B116B"/>
    <w:rsid w:val="006B1C35"/>
    <w:rsid w:val="006B2C51"/>
    <w:rsid w:val="006B3A8B"/>
    <w:rsid w:val="006B60C1"/>
    <w:rsid w:val="006C0911"/>
    <w:rsid w:val="006C7F07"/>
    <w:rsid w:val="006D0BCF"/>
    <w:rsid w:val="006D14AD"/>
    <w:rsid w:val="006D46FB"/>
    <w:rsid w:val="006D5CA8"/>
    <w:rsid w:val="006D6AF5"/>
    <w:rsid w:val="006D76B9"/>
    <w:rsid w:val="006E053C"/>
    <w:rsid w:val="006E1BBB"/>
    <w:rsid w:val="006E2651"/>
    <w:rsid w:val="006E29AF"/>
    <w:rsid w:val="006E4A5A"/>
    <w:rsid w:val="006F4CCA"/>
    <w:rsid w:val="0070177B"/>
    <w:rsid w:val="007018AF"/>
    <w:rsid w:val="00706842"/>
    <w:rsid w:val="007113E7"/>
    <w:rsid w:val="00713907"/>
    <w:rsid w:val="00716BFF"/>
    <w:rsid w:val="0071746E"/>
    <w:rsid w:val="007216E4"/>
    <w:rsid w:val="007415F5"/>
    <w:rsid w:val="00746204"/>
    <w:rsid w:val="0074674D"/>
    <w:rsid w:val="00747715"/>
    <w:rsid w:val="00750138"/>
    <w:rsid w:val="0075196D"/>
    <w:rsid w:val="00753DA3"/>
    <w:rsid w:val="00755CC0"/>
    <w:rsid w:val="00764779"/>
    <w:rsid w:val="00764F50"/>
    <w:rsid w:val="00766F25"/>
    <w:rsid w:val="00770A92"/>
    <w:rsid w:val="007749A0"/>
    <w:rsid w:val="00774A47"/>
    <w:rsid w:val="00776D17"/>
    <w:rsid w:val="00782AE2"/>
    <w:rsid w:val="00786CB5"/>
    <w:rsid w:val="00790474"/>
    <w:rsid w:val="00790C65"/>
    <w:rsid w:val="00790CEB"/>
    <w:rsid w:val="00795991"/>
    <w:rsid w:val="007A00A8"/>
    <w:rsid w:val="007A21C4"/>
    <w:rsid w:val="007A3179"/>
    <w:rsid w:val="007A3D17"/>
    <w:rsid w:val="007A3FB5"/>
    <w:rsid w:val="007A5BE1"/>
    <w:rsid w:val="007A7D45"/>
    <w:rsid w:val="007B36EA"/>
    <w:rsid w:val="007B5137"/>
    <w:rsid w:val="007C1B00"/>
    <w:rsid w:val="007C56DC"/>
    <w:rsid w:val="007C5C81"/>
    <w:rsid w:val="007C6754"/>
    <w:rsid w:val="007C7C30"/>
    <w:rsid w:val="007D1354"/>
    <w:rsid w:val="007D13D9"/>
    <w:rsid w:val="007D31CE"/>
    <w:rsid w:val="007D3B22"/>
    <w:rsid w:val="007D41E0"/>
    <w:rsid w:val="007D4C8A"/>
    <w:rsid w:val="007D5BB7"/>
    <w:rsid w:val="007D783F"/>
    <w:rsid w:val="007E0621"/>
    <w:rsid w:val="007E0AEE"/>
    <w:rsid w:val="007E4E37"/>
    <w:rsid w:val="007F1280"/>
    <w:rsid w:val="007F3697"/>
    <w:rsid w:val="007F3D62"/>
    <w:rsid w:val="007F4B07"/>
    <w:rsid w:val="007F59B9"/>
    <w:rsid w:val="008028B6"/>
    <w:rsid w:val="0080309B"/>
    <w:rsid w:val="008109C7"/>
    <w:rsid w:val="008137D3"/>
    <w:rsid w:val="00813EB8"/>
    <w:rsid w:val="00815CD6"/>
    <w:rsid w:val="008164D5"/>
    <w:rsid w:val="00821EB8"/>
    <w:rsid w:val="00824C26"/>
    <w:rsid w:val="008265BC"/>
    <w:rsid w:val="0083488D"/>
    <w:rsid w:val="0083492D"/>
    <w:rsid w:val="00840217"/>
    <w:rsid w:val="00841418"/>
    <w:rsid w:val="008460E7"/>
    <w:rsid w:val="008466C3"/>
    <w:rsid w:val="00846B1A"/>
    <w:rsid w:val="00851458"/>
    <w:rsid w:val="00856376"/>
    <w:rsid w:val="00856F53"/>
    <w:rsid w:val="00861A47"/>
    <w:rsid w:val="008633DD"/>
    <w:rsid w:val="008707FF"/>
    <w:rsid w:val="00870852"/>
    <w:rsid w:val="0087194D"/>
    <w:rsid w:val="008724E5"/>
    <w:rsid w:val="00874EE6"/>
    <w:rsid w:val="00875B28"/>
    <w:rsid w:val="008815E5"/>
    <w:rsid w:val="0088315E"/>
    <w:rsid w:val="00883888"/>
    <w:rsid w:val="00885B54"/>
    <w:rsid w:val="00887556"/>
    <w:rsid w:val="008936F7"/>
    <w:rsid w:val="00893AFC"/>
    <w:rsid w:val="0089693B"/>
    <w:rsid w:val="008A0C4D"/>
    <w:rsid w:val="008A2314"/>
    <w:rsid w:val="008B2018"/>
    <w:rsid w:val="008B63C6"/>
    <w:rsid w:val="008B7E57"/>
    <w:rsid w:val="008C1140"/>
    <w:rsid w:val="008C49C6"/>
    <w:rsid w:val="008C4F35"/>
    <w:rsid w:val="008C5307"/>
    <w:rsid w:val="008C5A81"/>
    <w:rsid w:val="008D35E2"/>
    <w:rsid w:val="008D3BF7"/>
    <w:rsid w:val="008D53B0"/>
    <w:rsid w:val="008D60B9"/>
    <w:rsid w:val="008E3BEB"/>
    <w:rsid w:val="008E4F0D"/>
    <w:rsid w:val="008E4F74"/>
    <w:rsid w:val="008E6DA2"/>
    <w:rsid w:val="008E7DC6"/>
    <w:rsid w:val="008E7FA3"/>
    <w:rsid w:val="008F16C6"/>
    <w:rsid w:val="008F2310"/>
    <w:rsid w:val="008F34A1"/>
    <w:rsid w:val="008F4DAC"/>
    <w:rsid w:val="008F4E38"/>
    <w:rsid w:val="008F66AD"/>
    <w:rsid w:val="008F772A"/>
    <w:rsid w:val="008F7B13"/>
    <w:rsid w:val="0090137F"/>
    <w:rsid w:val="00907479"/>
    <w:rsid w:val="009117DA"/>
    <w:rsid w:val="00911A07"/>
    <w:rsid w:val="009121CE"/>
    <w:rsid w:val="009127D8"/>
    <w:rsid w:val="00915631"/>
    <w:rsid w:val="00921F65"/>
    <w:rsid w:val="00924BED"/>
    <w:rsid w:val="0092529D"/>
    <w:rsid w:val="00927289"/>
    <w:rsid w:val="00936A1B"/>
    <w:rsid w:val="009465CF"/>
    <w:rsid w:val="00947784"/>
    <w:rsid w:val="009529A3"/>
    <w:rsid w:val="00956DFD"/>
    <w:rsid w:val="0096247E"/>
    <w:rsid w:val="00962F23"/>
    <w:rsid w:val="00966D45"/>
    <w:rsid w:val="00967CE4"/>
    <w:rsid w:val="00970A11"/>
    <w:rsid w:val="009725C0"/>
    <w:rsid w:val="0097349C"/>
    <w:rsid w:val="0097749C"/>
    <w:rsid w:val="0098018F"/>
    <w:rsid w:val="009816CC"/>
    <w:rsid w:val="00982B09"/>
    <w:rsid w:val="00985A4C"/>
    <w:rsid w:val="009960A8"/>
    <w:rsid w:val="00996A2C"/>
    <w:rsid w:val="009A213A"/>
    <w:rsid w:val="009A7D6B"/>
    <w:rsid w:val="009B55AC"/>
    <w:rsid w:val="009B6C85"/>
    <w:rsid w:val="009B6E85"/>
    <w:rsid w:val="009C7063"/>
    <w:rsid w:val="009D4547"/>
    <w:rsid w:val="009D5E38"/>
    <w:rsid w:val="009D742C"/>
    <w:rsid w:val="009E7C97"/>
    <w:rsid w:val="009F34A4"/>
    <w:rsid w:val="009F3988"/>
    <w:rsid w:val="009F4E3D"/>
    <w:rsid w:val="00A0523A"/>
    <w:rsid w:val="00A054C2"/>
    <w:rsid w:val="00A07660"/>
    <w:rsid w:val="00A1137F"/>
    <w:rsid w:val="00A118C4"/>
    <w:rsid w:val="00A13E9A"/>
    <w:rsid w:val="00A146B1"/>
    <w:rsid w:val="00A150C7"/>
    <w:rsid w:val="00A258E9"/>
    <w:rsid w:val="00A31077"/>
    <w:rsid w:val="00A311A4"/>
    <w:rsid w:val="00A32A0E"/>
    <w:rsid w:val="00A342E0"/>
    <w:rsid w:val="00A42F69"/>
    <w:rsid w:val="00A443D0"/>
    <w:rsid w:val="00A456A7"/>
    <w:rsid w:val="00A50E04"/>
    <w:rsid w:val="00A519A2"/>
    <w:rsid w:val="00A51DD8"/>
    <w:rsid w:val="00A628D0"/>
    <w:rsid w:val="00A63CBE"/>
    <w:rsid w:val="00A70883"/>
    <w:rsid w:val="00A76984"/>
    <w:rsid w:val="00A76F0C"/>
    <w:rsid w:val="00A77AEB"/>
    <w:rsid w:val="00A81FD6"/>
    <w:rsid w:val="00A84091"/>
    <w:rsid w:val="00A86042"/>
    <w:rsid w:val="00A96B79"/>
    <w:rsid w:val="00A976A7"/>
    <w:rsid w:val="00A97B58"/>
    <w:rsid w:val="00AA2FD9"/>
    <w:rsid w:val="00AA3ABD"/>
    <w:rsid w:val="00AA444A"/>
    <w:rsid w:val="00AA7556"/>
    <w:rsid w:val="00AA7FF0"/>
    <w:rsid w:val="00AB1528"/>
    <w:rsid w:val="00AB4A1E"/>
    <w:rsid w:val="00AB57DF"/>
    <w:rsid w:val="00AB7A48"/>
    <w:rsid w:val="00AC10E1"/>
    <w:rsid w:val="00AC12E7"/>
    <w:rsid w:val="00AC164D"/>
    <w:rsid w:val="00AC268B"/>
    <w:rsid w:val="00AC5753"/>
    <w:rsid w:val="00AD313C"/>
    <w:rsid w:val="00AD5274"/>
    <w:rsid w:val="00AE1B18"/>
    <w:rsid w:val="00AE2243"/>
    <w:rsid w:val="00AE32D5"/>
    <w:rsid w:val="00AF12D0"/>
    <w:rsid w:val="00AF1C32"/>
    <w:rsid w:val="00AF1C8B"/>
    <w:rsid w:val="00AF222D"/>
    <w:rsid w:val="00AF2AB6"/>
    <w:rsid w:val="00AF78D4"/>
    <w:rsid w:val="00B02640"/>
    <w:rsid w:val="00B04F3C"/>
    <w:rsid w:val="00B06F01"/>
    <w:rsid w:val="00B11AB9"/>
    <w:rsid w:val="00B11AE3"/>
    <w:rsid w:val="00B13952"/>
    <w:rsid w:val="00B1608B"/>
    <w:rsid w:val="00B16C82"/>
    <w:rsid w:val="00B170F7"/>
    <w:rsid w:val="00B200D7"/>
    <w:rsid w:val="00B21562"/>
    <w:rsid w:val="00B217E0"/>
    <w:rsid w:val="00B25B6F"/>
    <w:rsid w:val="00B328A8"/>
    <w:rsid w:val="00B33418"/>
    <w:rsid w:val="00B356B4"/>
    <w:rsid w:val="00B374B3"/>
    <w:rsid w:val="00B45EC1"/>
    <w:rsid w:val="00B46D2E"/>
    <w:rsid w:val="00B50DF7"/>
    <w:rsid w:val="00B513A4"/>
    <w:rsid w:val="00B6167A"/>
    <w:rsid w:val="00B61CE2"/>
    <w:rsid w:val="00B86CC0"/>
    <w:rsid w:val="00B91E69"/>
    <w:rsid w:val="00B92C4F"/>
    <w:rsid w:val="00B92DB8"/>
    <w:rsid w:val="00B960D5"/>
    <w:rsid w:val="00B973B5"/>
    <w:rsid w:val="00BA038C"/>
    <w:rsid w:val="00BA1979"/>
    <w:rsid w:val="00BA75DB"/>
    <w:rsid w:val="00BA7F63"/>
    <w:rsid w:val="00BB26AC"/>
    <w:rsid w:val="00BC0098"/>
    <w:rsid w:val="00BC06EC"/>
    <w:rsid w:val="00BC2260"/>
    <w:rsid w:val="00BC3130"/>
    <w:rsid w:val="00BC7563"/>
    <w:rsid w:val="00BC7948"/>
    <w:rsid w:val="00BC7986"/>
    <w:rsid w:val="00BD0955"/>
    <w:rsid w:val="00BD28FB"/>
    <w:rsid w:val="00BD59BD"/>
    <w:rsid w:val="00BD7D94"/>
    <w:rsid w:val="00BE3C7A"/>
    <w:rsid w:val="00BE4805"/>
    <w:rsid w:val="00BE4DA3"/>
    <w:rsid w:val="00BE61E0"/>
    <w:rsid w:val="00BF09DF"/>
    <w:rsid w:val="00BF461D"/>
    <w:rsid w:val="00BF4EB3"/>
    <w:rsid w:val="00BF6FCA"/>
    <w:rsid w:val="00C069C5"/>
    <w:rsid w:val="00C0778D"/>
    <w:rsid w:val="00C07898"/>
    <w:rsid w:val="00C11AB2"/>
    <w:rsid w:val="00C14307"/>
    <w:rsid w:val="00C1651E"/>
    <w:rsid w:val="00C32FB2"/>
    <w:rsid w:val="00C335F1"/>
    <w:rsid w:val="00C3447C"/>
    <w:rsid w:val="00C35DC9"/>
    <w:rsid w:val="00C43A8B"/>
    <w:rsid w:val="00C465CC"/>
    <w:rsid w:val="00C50853"/>
    <w:rsid w:val="00C57B89"/>
    <w:rsid w:val="00C6023B"/>
    <w:rsid w:val="00C60314"/>
    <w:rsid w:val="00C60CDD"/>
    <w:rsid w:val="00C6353C"/>
    <w:rsid w:val="00C6478B"/>
    <w:rsid w:val="00C65379"/>
    <w:rsid w:val="00C65A0B"/>
    <w:rsid w:val="00C70EFC"/>
    <w:rsid w:val="00C7296B"/>
    <w:rsid w:val="00C72DF1"/>
    <w:rsid w:val="00C806B3"/>
    <w:rsid w:val="00C859BC"/>
    <w:rsid w:val="00C85B3B"/>
    <w:rsid w:val="00C86AB5"/>
    <w:rsid w:val="00C90045"/>
    <w:rsid w:val="00C9156B"/>
    <w:rsid w:val="00C91644"/>
    <w:rsid w:val="00C91F2F"/>
    <w:rsid w:val="00C94535"/>
    <w:rsid w:val="00C94877"/>
    <w:rsid w:val="00C95C87"/>
    <w:rsid w:val="00C96E9A"/>
    <w:rsid w:val="00CA1382"/>
    <w:rsid w:val="00CA21C3"/>
    <w:rsid w:val="00CA3D3A"/>
    <w:rsid w:val="00CA4037"/>
    <w:rsid w:val="00CA608E"/>
    <w:rsid w:val="00CA775F"/>
    <w:rsid w:val="00CB0F37"/>
    <w:rsid w:val="00CB1B5A"/>
    <w:rsid w:val="00CB53C4"/>
    <w:rsid w:val="00CB669D"/>
    <w:rsid w:val="00CC2BC6"/>
    <w:rsid w:val="00CD37C9"/>
    <w:rsid w:val="00CD5C16"/>
    <w:rsid w:val="00CD69DC"/>
    <w:rsid w:val="00CD6DF0"/>
    <w:rsid w:val="00CE2586"/>
    <w:rsid w:val="00CE3541"/>
    <w:rsid w:val="00CE5A57"/>
    <w:rsid w:val="00CF4CB1"/>
    <w:rsid w:val="00CF68E3"/>
    <w:rsid w:val="00D001F6"/>
    <w:rsid w:val="00D05000"/>
    <w:rsid w:val="00D22D3B"/>
    <w:rsid w:val="00D265F3"/>
    <w:rsid w:val="00D317FA"/>
    <w:rsid w:val="00D359BF"/>
    <w:rsid w:val="00D3721C"/>
    <w:rsid w:val="00D404B7"/>
    <w:rsid w:val="00D42181"/>
    <w:rsid w:val="00D45C4B"/>
    <w:rsid w:val="00D46EBD"/>
    <w:rsid w:val="00D47685"/>
    <w:rsid w:val="00D5157F"/>
    <w:rsid w:val="00D53CD0"/>
    <w:rsid w:val="00D600AF"/>
    <w:rsid w:val="00D60B4D"/>
    <w:rsid w:val="00D62345"/>
    <w:rsid w:val="00D62F3B"/>
    <w:rsid w:val="00D64F69"/>
    <w:rsid w:val="00D6525C"/>
    <w:rsid w:val="00D67614"/>
    <w:rsid w:val="00D7057F"/>
    <w:rsid w:val="00D7229D"/>
    <w:rsid w:val="00D763AA"/>
    <w:rsid w:val="00D809E5"/>
    <w:rsid w:val="00D816FB"/>
    <w:rsid w:val="00D81948"/>
    <w:rsid w:val="00D85D8A"/>
    <w:rsid w:val="00D8676F"/>
    <w:rsid w:val="00D9436D"/>
    <w:rsid w:val="00D9501F"/>
    <w:rsid w:val="00D96952"/>
    <w:rsid w:val="00D97642"/>
    <w:rsid w:val="00DA329E"/>
    <w:rsid w:val="00DA35F6"/>
    <w:rsid w:val="00DA38DE"/>
    <w:rsid w:val="00DA7BDF"/>
    <w:rsid w:val="00DA7DC4"/>
    <w:rsid w:val="00DB11E7"/>
    <w:rsid w:val="00DB2957"/>
    <w:rsid w:val="00DB50D5"/>
    <w:rsid w:val="00DB5CA9"/>
    <w:rsid w:val="00DB60A3"/>
    <w:rsid w:val="00DB778D"/>
    <w:rsid w:val="00DB79C4"/>
    <w:rsid w:val="00DC0F4C"/>
    <w:rsid w:val="00DD75AC"/>
    <w:rsid w:val="00DF0D1D"/>
    <w:rsid w:val="00DF3DA3"/>
    <w:rsid w:val="00DF5209"/>
    <w:rsid w:val="00E03C1C"/>
    <w:rsid w:val="00E05F3F"/>
    <w:rsid w:val="00E06A00"/>
    <w:rsid w:val="00E1204D"/>
    <w:rsid w:val="00E13C85"/>
    <w:rsid w:val="00E14322"/>
    <w:rsid w:val="00E146A7"/>
    <w:rsid w:val="00E151CE"/>
    <w:rsid w:val="00E176FD"/>
    <w:rsid w:val="00E22B99"/>
    <w:rsid w:val="00E24C45"/>
    <w:rsid w:val="00E253BD"/>
    <w:rsid w:val="00E258D9"/>
    <w:rsid w:val="00E26E9D"/>
    <w:rsid w:val="00E3509F"/>
    <w:rsid w:val="00E425D9"/>
    <w:rsid w:val="00E428E8"/>
    <w:rsid w:val="00E439CA"/>
    <w:rsid w:val="00E5219B"/>
    <w:rsid w:val="00E525A2"/>
    <w:rsid w:val="00E526E7"/>
    <w:rsid w:val="00E54EC6"/>
    <w:rsid w:val="00E55728"/>
    <w:rsid w:val="00E559AD"/>
    <w:rsid w:val="00E61D4D"/>
    <w:rsid w:val="00E6404B"/>
    <w:rsid w:val="00E64A44"/>
    <w:rsid w:val="00E655E6"/>
    <w:rsid w:val="00E67989"/>
    <w:rsid w:val="00E72B36"/>
    <w:rsid w:val="00E73F9F"/>
    <w:rsid w:val="00E75CF2"/>
    <w:rsid w:val="00E766F4"/>
    <w:rsid w:val="00E809AD"/>
    <w:rsid w:val="00E83BE3"/>
    <w:rsid w:val="00E851F4"/>
    <w:rsid w:val="00E93F6E"/>
    <w:rsid w:val="00E95DD2"/>
    <w:rsid w:val="00E97043"/>
    <w:rsid w:val="00EA198F"/>
    <w:rsid w:val="00EA1DF6"/>
    <w:rsid w:val="00EA5084"/>
    <w:rsid w:val="00EA5C89"/>
    <w:rsid w:val="00EA6BED"/>
    <w:rsid w:val="00EA7339"/>
    <w:rsid w:val="00EA7AE8"/>
    <w:rsid w:val="00EB158F"/>
    <w:rsid w:val="00EB66DD"/>
    <w:rsid w:val="00EB75BF"/>
    <w:rsid w:val="00EC27E8"/>
    <w:rsid w:val="00EC4206"/>
    <w:rsid w:val="00EC74D8"/>
    <w:rsid w:val="00ED23F3"/>
    <w:rsid w:val="00ED6ED3"/>
    <w:rsid w:val="00EE1239"/>
    <w:rsid w:val="00EE138A"/>
    <w:rsid w:val="00EE3048"/>
    <w:rsid w:val="00EE63C4"/>
    <w:rsid w:val="00EE788E"/>
    <w:rsid w:val="00EF0BCB"/>
    <w:rsid w:val="00EF0E74"/>
    <w:rsid w:val="00EF31B0"/>
    <w:rsid w:val="00EF3921"/>
    <w:rsid w:val="00EF3B14"/>
    <w:rsid w:val="00EF3F13"/>
    <w:rsid w:val="00EF6D74"/>
    <w:rsid w:val="00EF7C59"/>
    <w:rsid w:val="00F00995"/>
    <w:rsid w:val="00F00E8A"/>
    <w:rsid w:val="00F02F2C"/>
    <w:rsid w:val="00F10A72"/>
    <w:rsid w:val="00F12556"/>
    <w:rsid w:val="00F13D37"/>
    <w:rsid w:val="00F152E4"/>
    <w:rsid w:val="00F228A0"/>
    <w:rsid w:val="00F228E9"/>
    <w:rsid w:val="00F230CA"/>
    <w:rsid w:val="00F26034"/>
    <w:rsid w:val="00F27815"/>
    <w:rsid w:val="00F315D0"/>
    <w:rsid w:val="00F33650"/>
    <w:rsid w:val="00F36A44"/>
    <w:rsid w:val="00F473CB"/>
    <w:rsid w:val="00F47E0D"/>
    <w:rsid w:val="00F50245"/>
    <w:rsid w:val="00F503F9"/>
    <w:rsid w:val="00F62443"/>
    <w:rsid w:val="00F63DDA"/>
    <w:rsid w:val="00F64C76"/>
    <w:rsid w:val="00F67CB4"/>
    <w:rsid w:val="00F70858"/>
    <w:rsid w:val="00F725E2"/>
    <w:rsid w:val="00F7397F"/>
    <w:rsid w:val="00F74807"/>
    <w:rsid w:val="00F748D8"/>
    <w:rsid w:val="00F75949"/>
    <w:rsid w:val="00F87235"/>
    <w:rsid w:val="00F941F0"/>
    <w:rsid w:val="00F94E36"/>
    <w:rsid w:val="00FA4D57"/>
    <w:rsid w:val="00FB0279"/>
    <w:rsid w:val="00FB2DBB"/>
    <w:rsid w:val="00FB394B"/>
    <w:rsid w:val="00FB4D6D"/>
    <w:rsid w:val="00FB5A3A"/>
    <w:rsid w:val="00FB5E96"/>
    <w:rsid w:val="00FC422C"/>
    <w:rsid w:val="00FD1941"/>
    <w:rsid w:val="00FD1C3A"/>
    <w:rsid w:val="00FD3235"/>
    <w:rsid w:val="00FD5928"/>
    <w:rsid w:val="00FD5F87"/>
    <w:rsid w:val="00FD79BE"/>
    <w:rsid w:val="00FE41A9"/>
    <w:rsid w:val="00FF0F80"/>
    <w:rsid w:val="00FF1DC4"/>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3F0FEA26-9288-4DA2-9357-CD49AFE8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rPr>
  </w:style>
  <w:style w:type="paragraph" w:styleId="Titre1">
    <w:name w:val="heading 1"/>
    <w:basedOn w:val="Normal"/>
    <w:next w:val="Normal"/>
    <w:link w:val="Titre1Car"/>
    <w:qFormat/>
    <w:rsid w:val="004C75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C72DF1"/>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spacing w:after="0"/>
    </w:pPr>
  </w:style>
  <w:style w:type="character" w:customStyle="1" w:styleId="En-tteCar">
    <w:name w:val="En-tête Car"/>
    <w:link w:val="En-tte"/>
    <w:rsid w:val="008724E5"/>
    <w:rPr>
      <w:lang w:val="fr-FR"/>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fr-FR"/>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fr-FR"/>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rsid w:val="00B11AE3"/>
    <w:rPr>
      <w:sz w:val="16"/>
      <w:szCs w:val="16"/>
    </w:rPr>
  </w:style>
  <w:style w:type="paragraph" w:styleId="Commentaire">
    <w:name w:val="annotation text"/>
    <w:basedOn w:val="Normal"/>
    <w:link w:val="CommentaireCar"/>
    <w:rsid w:val="00B11AE3"/>
    <w:rPr>
      <w:sz w:val="20"/>
      <w:szCs w:val="20"/>
    </w:rPr>
  </w:style>
  <w:style w:type="character" w:customStyle="1" w:styleId="CommentaireCar">
    <w:name w:val="Commentaire Car"/>
    <w:link w:val="Commentaire"/>
    <w:rsid w:val="00B11AE3"/>
    <w:rPr>
      <w:rFonts w:ascii="Times New Roman" w:eastAsia="Times New Roman" w:hAnsi="Times New Roman"/>
      <w:lang w:val="fr-FR"/>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fr-FR"/>
    </w:rPr>
  </w:style>
  <w:style w:type="paragraph" w:customStyle="1" w:styleId="1GAPara">
    <w:name w:val="1. GA Para"/>
    <w:qFormat/>
    <w:rsid w:val="00E22B99"/>
    <w:pPr>
      <w:numPr>
        <w:numId w:val="2"/>
      </w:numPr>
      <w:spacing w:after="120"/>
    </w:pPr>
    <w:rPr>
      <w:rFonts w:ascii="Arial" w:eastAsia="Times New Roman" w:hAnsi="Arial" w:cs="Arial"/>
      <w:snapToGrid w:val="0"/>
      <w:sz w:val="22"/>
      <w:szCs w:val="22"/>
      <w:lang w:eastAsia="en-US"/>
    </w:rPr>
  </w:style>
  <w:style w:type="table" w:customStyle="1" w:styleId="TableGrid1">
    <w:name w:val="Table Grid1"/>
    <w:basedOn w:val="TableauNormal"/>
    <w:next w:val="Grilledutableau"/>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sid w:val="00D816FB"/>
    <w:rPr>
      <w:color w:val="0000FF" w:themeColor="hyperlink"/>
      <w:u w:val="single"/>
    </w:rPr>
  </w:style>
  <w:style w:type="character" w:styleId="Lienhypertextesuivivisit">
    <w:name w:val="FollowedHyperlink"/>
    <w:basedOn w:val="Policepardfaut"/>
    <w:semiHidden/>
    <w:unhideWhenUsed/>
    <w:rsid w:val="00C335F1"/>
    <w:rPr>
      <w:color w:val="800080" w:themeColor="followedHyperlink"/>
      <w:u w:val="single"/>
    </w:rPr>
  </w:style>
  <w:style w:type="character" w:styleId="Mentionnonrsolue">
    <w:name w:val="Unresolved Mention"/>
    <w:basedOn w:val="Policepardfaut"/>
    <w:uiPriority w:val="99"/>
    <w:semiHidden/>
    <w:unhideWhenUsed/>
    <w:rsid w:val="00EA6BED"/>
    <w:rPr>
      <w:color w:val="605E5C"/>
      <w:shd w:val="clear" w:color="auto" w:fill="E1DFDD"/>
    </w:rPr>
  </w:style>
  <w:style w:type="paragraph" w:styleId="Paragraphedeliste">
    <w:name w:val="List Paragraph"/>
    <w:basedOn w:val="Normal"/>
    <w:uiPriority w:val="34"/>
    <w:qFormat/>
    <w:rsid w:val="007B36EA"/>
    <w:pPr>
      <w:spacing w:after="160" w:line="278" w:lineRule="auto"/>
      <w:ind w:left="720"/>
      <w:contextualSpacing/>
    </w:pPr>
    <w:rPr>
      <w:rFonts w:asciiTheme="minorHAnsi" w:eastAsiaTheme="minorEastAsia" w:hAnsiTheme="minorHAnsi" w:cstheme="minorBidi"/>
      <w:kern w:val="2"/>
      <w:sz w:val="24"/>
      <w:lang w:eastAsia="zh-CN"/>
      <w14:ligatures w14:val="standardContextual"/>
    </w:rPr>
  </w:style>
  <w:style w:type="character" w:customStyle="1" w:styleId="Titre1Car">
    <w:name w:val="Titre 1 Car"/>
    <w:basedOn w:val="Policepardfaut"/>
    <w:link w:val="Titre1"/>
    <w:rsid w:val="004C7581"/>
    <w:rPr>
      <w:rFonts w:asciiTheme="majorHAnsi" w:eastAsiaTheme="majorEastAsia" w:hAnsiTheme="majorHAnsi" w:cstheme="majorBidi"/>
      <w:color w:val="365F91" w:themeColor="accent1" w:themeShade="BF"/>
      <w:sz w:val="32"/>
      <w:szCs w:val="32"/>
      <w:lang w:val="fr-FR"/>
    </w:rPr>
  </w:style>
  <w:style w:type="paragraph" w:styleId="Rvision">
    <w:name w:val="Revision"/>
    <w:hidden/>
    <w:semiHidden/>
    <w:rsid w:val="00F47E0D"/>
    <w:rPr>
      <w:rFonts w:ascii="Times New Roman" w:eastAsia="Times New Roman" w:hAnsi="Times New Roman"/>
      <w:sz w:val="22"/>
      <w:szCs w:val="24"/>
    </w:rPr>
  </w:style>
  <w:style w:type="character" w:customStyle="1" w:styleId="hps">
    <w:name w:val="hps"/>
    <w:rsid w:val="00A76F0C"/>
  </w:style>
  <w:style w:type="paragraph" w:customStyle="1" w:styleId="COMPara">
    <w:name w:val="COM Para"/>
    <w:qFormat/>
    <w:rsid w:val="00BC7986"/>
    <w:pPr>
      <w:spacing w:after="120"/>
    </w:pPr>
    <w:rPr>
      <w:rFonts w:ascii="Arial" w:eastAsia="Times New Roman" w:hAnsi="Arial" w:cs="Arial"/>
      <w:snapToGrid w:val="0"/>
      <w:sz w:val="22"/>
      <w:szCs w:val="22"/>
      <w:lang w:eastAsia="en-US"/>
    </w:rPr>
  </w:style>
  <w:style w:type="paragraph" w:styleId="TM2">
    <w:name w:val="toc 2"/>
    <w:basedOn w:val="Normal"/>
    <w:next w:val="Normal"/>
    <w:autoRedefine/>
    <w:uiPriority w:val="39"/>
    <w:unhideWhenUsed/>
    <w:rsid w:val="00BC7986"/>
    <w:pPr>
      <w:keepNext/>
      <w:numPr>
        <w:numId w:val="6"/>
      </w:numPr>
      <w:spacing w:line="280" w:lineRule="atLeast"/>
      <w:jc w:val="both"/>
    </w:pPr>
    <w:rPr>
      <w:rFonts w:ascii="Arial" w:hAnsi="Arial" w:cs="Arial"/>
      <w:snapToGrid w:val="0"/>
      <w:szCs w:val="22"/>
      <w:lang w:eastAsia="en-US"/>
    </w:rPr>
  </w:style>
  <w:style w:type="character" w:customStyle="1" w:styleId="Titre3Car">
    <w:name w:val="Titre 3 Car"/>
    <w:basedOn w:val="Policepardfaut"/>
    <w:link w:val="Titre3"/>
    <w:semiHidden/>
    <w:rsid w:val="00C72DF1"/>
    <w:rPr>
      <w:rFonts w:asciiTheme="majorHAnsi" w:eastAsiaTheme="majorEastAsia" w:hAnsiTheme="majorHAnsi" w:cstheme="majorBidi"/>
      <w:color w:val="243F60" w:themeColor="accent1" w:themeShade="7F"/>
      <w:sz w:val="24"/>
      <w:szCs w:val="24"/>
      <w:lang w:val="fr-FR"/>
    </w:rPr>
  </w:style>
  <w:style w:type="paragraph" w:styleId="NormalWeb">
    <w:name w:val="Normal (Web)"/>
    <w:basedOn w:val="Normal"/>
    <w:uiPriority w:val="99"/>
    <w:semiHidden/>
    <w:unhideWhenUsed/>
    <w:rsid w:val="00387E3B"/>
    <w:pPr>
      <w:spacing w:before="100" w:beforeAutospacing="1" w:after="100" w:afterAutospacing="1"/>
    </w:pPr>
    <w:rPr>
      <w:sz w:val="24"/>
      <w:lang w:eastAsia="en-GB"/>
    </w:rPr>
  </w:style>
  <w:style w:type="paragraph" w:styleId="Notedebasdepage">
    <w:name w:val="footnote text"/>
    <w:basedOn w:val="Normal"/>
    <w:link w:val="NotedebasdepageCar"/>
    <w:semiHidden/>
    <w:unhideWhenUsed/>
    <w:rsid w:val="00AF1C8B"/>
    <w:pPr>
      <w:spacing w:after="0"/>
    </w:pPr>
    <w:rPr>
      <w:sz w:val="20"/>
      <w:szCs w:val="20"/>
    </w:rPr>
  </w:style>
  <w:style w:type="character" w:customStyle="1" w:styleId="NotedebasdepageCar">
    <w:name w:val="Note de bas de page Car"/>
    <w:basedOn w:val="Policepardfaut"/>
    <w:link w:val="Notedebasdepage"/>
    <w:semiHidden/>
    <w:rsid w:val="00AF1C8B"/>
    <w:rPr>
      <w:rFonts w:ascii="Times New Roman" w:eastAsia="Times New Roman" w:hAnsi="Times New Roman"/>
      <w:lang w:val="fr-FR"/>
    </w:rPr>
  </w:style>
  <w:style w:type="character" w:styleId="Appelnotedebasdep">
    <w:name w:val="footnote reference"/>
    <w:basedOn w:val="Policepardfaut"/>
    <w:semiHidden/>
    <w:unhideWhenUsed/>
    <w:rsid w:val="00AF1C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6408">
      <w:bodyDiv w:val="1"/>
      <w:marLeft w:val="0"/>
      <w:marRight w:val="0"/>
      <w:marTop w:val="0"/>
      <w:marBottom w:val="0"/>
      <w:divBdr>
        <w:top w:val="none" w:sz="0" w:space="0" w:color="auto"/>
        <w:left w:val="none" w:sz="0" w:space="0" w:color="auto"/>
        <w:bottom w:val="none" w:sz="0" w:space="0" w:color="auto"/>
        <w:right w:val="none" w:sz="0" w:space="0" w:color="auto"/>
      </w:divBdr>
    </w:div>
    <w:div w:id="186140392">
      <w:bodyDiv w:val="1"/>
      <w:marLeft w:val="0"/>
      <w:marRight w:val="0"/>
      <w:marTop w:val="0"/>
      <w:marBottom w:val="0"/>
      <w:divBdr>
        <w:top w:val="none" w:sz="0" w:space="0" w:color="auto"/>
        <w:left w:val="none" w:sz="0" w:space="0" w:color="auto"/>
        <w:bottom w:val="none" w:sz="0" w:space="0" w:color="auto"/>
        <w:right w:val="none" w:sz="0" w:space="0" w:color="auto"/>
      </w:divBdr>
    </w:div>
    <w:div w:id="189496143">
      <w:bodyDiv w:val="1"/>
      <w:marLeft w:val="0"/>
      <w:marRight w:val="0"/>
      <w:marTop w:val="0"/>
      <w:marBottom w:val="0"/>
      <w:divBdr>
        <w:top w:val="none" w:sz="0" w:space="0" w:color="auto"/>
        <w:left w:val="none" w:sz="0" w:space="0" w:color="auto"/>
        <w:bottom w:val="none" w:sz="0" w:space="0" w:color="auto"/>
        <w:right w:val="none" w:sz="0" w:space="0" w:color="auto"/>
      </w:divBdr>
      <w:divsChild>
        <w:div w:id="67584065">
          <w:marLeft w:val="0"/>
          <w:marRight w:val="0"/>
          <w:marTop w:val="0"/>
          <w:marBottom w:val="0"/>
          <w:divBdr>
            <w:top w:val="none" w:sz="0" w:space="0" w:color="auto"/>
            <w:left w:val="none" w:sz="0" w:space="0" w:color="auto"/>
            <w:bottom w:val="none" w:sz="0" w:space="0" w:color="auto"/>
            <w:right w:val="none" w:sz="0" w:space="0" w:color="auto"/>
          </w:divBdr>
          <w:divsChild>
            <w:div w:id="125976761">
              <w:marLeft w:val="0"/>
              <w:marRight w:val="0"/>
              <w:marTop w:val="0"/>
              <w:marBottom w:val="0"/>
              <w:divBdr>
                <w:top w:val="none" w:sz="0" w:space="0" w:color="auto"/>
                <w:left w:val="none" w:sz="0" w:space="0" w:color="auto"/>
                <w:bottom w:val="none" w:sz="0" w:space="0" w:color="auto"/>
                <w:right w:val="none" w:sz="0" w:space="0" w:color="auto"/>
              </w:divBdr>
              <w:divsChild>
                <w:div w:id="1906836841">
                  <w:marLeft w:val="0"/>
                  <w:marRight w:val="0"/>
                  <w:marTop w:val="0"/>
                  <w:marBottom w:val="0"/>
                  <w:divBdr>
                    <w:top w:val="none" w:sz="0" w:space="0" w:color="auto"/>
                    <w:left w:val="none" w:sz="0" w:space="0" w:color="auto"/>
                    <w:bottom w:val="none" w:sz="0" w:space="0" w:color="auto"/>
                    <w:right w:val="none" w:sz="0" w:space="0" w:color="auto"/>
                  </w:divBdr>
                  <w:divsChild>
                    <w:div w:id="225185392">
                      <w:marLeft w:val="0"/>
                      <w:marRight w:val="0"/>
                      <w:marTop w:val="0"/>
                      <w:marBottom w:val="0"/>
                      <w:divBdr>
                        <w:top w:val="none" w:sz="0" w:space="0" w:color="auto"/>
                        <w:left w:val="none" w:sz="0" w:space="0" w:color="auto"/>
                        <w:bottom w:val="none" w:sz="0" w:space="0" w:color="auto"/>
                        <w:right w:val="none" w:sz="0" w:space="0" w:color="auto"/>
                      </w:divBdr>
                      <w:divsChild>
                        <w:div w:id="383263810">
                          <w:marLeft w:val="0"/>
                          <w:marRight w:val="0"/>
                          <w:marTop w:val="0"/>
                          <w:marBottom w:val="0"/>
                          <w:divBdr>
                            <w:top w:val="none" w:sz="0" w:space="0" w:color="auto"/>
                            <w:left w:val="none" w:sz="0" w:space="0" w:color="auto"/>
                            <w:bottom w:val="none" w:sz="0" w:space="0" w:color="auto"/>
                            <w:right w:val="none" w:sz="0" w:space="0" w:color="auto"/>
                          </w:divBdr>
                          <w:divsChild>
                            <w:div w:id="275139009">
                              <w:marLeft w:val="0"/>
                              <w:marRight w:val="0"/>
                              <w:marTop w:val="0"/>
                              <w:marBottom w:val="0"/>
                              <w:divBdr>
                                <w:top w:val="none" w:sz="0" w:space="0" w:color="auto"/>
                                <w:left w:val="none" w:sz="0" w:space="0" w:color="auto"/>
                                <w:bottom w:val="none" w:sz="0" w:space="0" w:color="auto"/>
                                <w:right w:val="none" w:sz="0" w:space="0" w:color="auto"/>
                              </w:divBdr>
                              <w:divsChild>
                                <w:div w:id="600770287">
                                  <w:marLeft w:val="0"/>
                                  <w:marRight w:val="0"/>
                                  <w:marTop w:val="0"/>
                                  <w:marBottom w:val="0"/>
                                  <w:divBdr>
                                    <w:top w:val="none" w:sz="0" w:space="0" w:color="auto"/>
                                    <w:left w:val="none" w:sz="0" w:space="0" w:color="auto"/>
                                    <w:bottom w:val="none" w:sz="0" w:space="0" w:color="auto"/>
                                    <w:right w:val="none" w:sz="0" w:space="0" w:color="auto"/>
                                  </w:divBdr>
                                  <w:divsChild>
                                    <w:div w:id="1079979155">
                                      <w:marLeft w:val="0"/>
                                      <w:marRight w:val="0"/>
                                      <w:marTop w:val="0"/>
                                      <w:marBottom w:val="0"/>
                                      <w:divBdr>
                                        <w:top w:val="none" w:sz="0" w:space="0" w:color="auto"/>
                                        <w:left w:val="none" w:sz="0" w:space="0" w:color="auto"/>
                                        <w:bottom w:val="none" w:sz="0" w:space="0" w:color="auto"/>
                                        <w:right w:val="none" w:sz="0" w:space="0" w:color="auto"/>
                                      </w:divBdr>
                                      <w:divsChild>
                                        <w:div w:id="550069303">
                                          <w:marLeft w:val="0"/>
                                          <w:marRight w:val="0"/>
                                          <w:marTop w:val="0"/>
                                          <w:marBottom w:val="0"/>
                                          <w:divBdr>
                                            <w:top w:val="none" w:sz="0" w:space="0" w:color="auto"/>
                                            <w:left w:val="none" w:sz="0" w:space="0" w:color="auto"/>
                                            <w:bottom w:val="none" w:sz="0" w:space="0" w:color="auto"/>
                                            <w:right w:val="none" w:sz="0" w:space="0" w:color="auto"/>
                                          </w:divBdr>
                                          <w:divsChild>
                                            <w:div w:id="1871643312">
                                              <w:marLeft w:val="0"/>
                                              <w:marRight w:val="0"/>
                                              <w:marTop w:val="0"/>
                                              <w:marBottom w:val="0"/>
                                              <w:divBdr>
                                                <w:top w:val="none" w:sz="0" w:space="0" w:color="auto"/>
                                                <w:left w:val="none" w:sz="0" w:space="0" w:color="auto"/>
                                                <w:bottom w:val="none" w:sz="0" w:space="0" w:color="auto"/>
                                                <w:right w:val="none" w:sz="0" w:space="0" w:color="auto"/>
                                              </w:divBdr>
                                              <w:divsChild>
                                                <w:div w:id="6881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5488205">
          <w:marLeft w:val="0"/>
          <w:marRight w:val="0"/>
          <w:marTop w:val="0"/>
          <w:marBottom w:val="0"/>
          <w:divBdr>
            <w:top w:val="none" w:sz="0" w:space="0" w:color="auto"/>
            <w:left w:val="none" w:sz="0" w:space="0" w:color="auto"/>
            <w:bottom w:val="none" w:sz="0" w:space="0" w:color="auto"/>
            <w:right w:val="none" w:sz="0" w:space="0" w:color="auto"/>
          </w:divBdr>
          <w:divsChild>
            <w:div w:id="523906766">
              <w:marLeft w:val="0"/>
              <w:marRight w:val="0"/>
              <w:marTop w:val="0"/>
              <w:marBottom w:val="0"/>
              <w:divBdr>
                <w:top w:val="none" w:sz="0" w:space="0" w:color="auto"/>
                <w:left w:val="none" w:sz="0" w:space="0" w:color="auto"/>
                <w:bottom w:val="none" w:sz="0" w:space="0" w:color="auto"/>
                <w:right w:val="none" w:sz="0" w:space="0" w:color="auto"/>
              </w:divBdr>
              <w:divsChild>
                <w:div w:id="1414668574">
                  <w:marLeft w:val="0"/>
                  <w:marRight w:val="0"/>
                  <w:marTop w:val="0"/>
                  <w:marBottom w:val="0"/>
                  <w:divBdr>
                    <w:top w:val="none" w:sz="0" w:space="0" w:color="auto"/>
                    <w:left w:val="none" w:sz="0" w:space="0" w:color="auto"/>
                    <w:bottom w:val="none" w:sz="0" w:space="0" w:color="auto"/>
                    <w:right w:val="none" w:sz="0" w:space="0" w:color="auto"/>
                  </w:divBdr>
                  <w:divsChild>
                    <w:div w:id="1291939329">
                      <w:marLeft w:val="0"/>
                      <w:marRight w:val="0"/>
                      <w:marTop w:val="0"/>
                      <w:marBottom w:val="0"/>
                      <w:divBdr>
                        <w:top w:val="none" w:sz="0" w:space="0" w:color="auto"/>
                        <w:left w:val="none" w:sz="0" w:space="0" w:color="auto"/>
                        <w:bottom w:val="none" w:sz="0" w:space="0" w:color="auto"/>
                        <w:right w:val="none" w:sz="0" w:space="0" w:color="auto"/>
                      </w:divBdr>
                      <w:divsChild>
                        <w:div w:id="1219900171">
                          <w:marLeft w:val="0"/>
                          <w:marRight w:val="0"/>
                          <w:marTop w:val="0"/>
                          <w:marBottom w:val="0"/>
                          <w:divBdr>
                            <w:top w:val="none" w:sz="0" w:space="0" w:color="auto"/>
                            <w:left w:val="none" w:sz="0" w:space="0" w:color="auto"/>
                            <w:bottom w:val="none" w:sz="0" w:space="0" w:color="auto"/>
                            <w:right w:val="none" w:sz="0" w:space="0" w:color="auto"/>
                          </w:divBdr>
                          <w:divsChild>
                            <w:div w:id="745414977">
                              <w:marLeft w:val="0"/>
                              <w:marRight w:val="0"/>
                              <w:marTop w:val="0"/>
                              <w:marBottom w:val="0"/>
                              <w:divBdr>
                                <w:top w:val="none" w:sz="0" w:space="0" w:color="auto"/>
                                <w:left w:val="none" w:sz="0" w:space="0" w:color="auto"/>
                                <w:bottom w:val="none" w:sz="0" w:space="0" w:color="auto"/>
                                <w:right w:val="none" w:sz="0" w:space="0" w:color="auto"/>
                              </w:divBdr>
                              <w:divsChild>
                                <w:div w:id="1324360130">
                                  <w:marLeft w:val="0"/>
                                  <w:marRight w:val="0"/>
                                  <w:marTop w:val="0"/>
                                  <w:marBottom w:val="0"/>
                                  <w:divBdr>
                                    <w:top w:val="none" w:sz="0" w:space="0" w:color="auto"/>
                                    <w:left w:val="none" w:sz="0" w:space="0" w:color="auto"/>
                                    <w:bottom w:val="none" w:sz="0" w:space="0" w:color="auto"/>
                                    <w:right w:val="none" w:sz="0" w:space="0" w:color="auto"/>
                                  </w:divBdr>
                                  <w:divsChild>
                                    <w:div w:id="1910384898">
                                      <w:marLeft w:val="0"/>
                                      <w:marRight w:val="0"/>
                                      <w:marTop w:val="0"/>
                                      <w:marBottom w:val="0"/>
                                      <w:divBdr>
                                        <w:top w:val="none" w:sz="0" w:space="0" w:color="auto"/>
                                        <w:left w:val="none" w:sz="0" w:space="0" w:color="auto"/>
                                        <w:bottom w:val="none" w:sz="0" w:space="0" w:color="auto"/>
                                        <w:right w:val="none" w:sz="0" w:space="0" w:color="auto"/>
                                      </w:divBdr>
                                      <w:divsChild>
                                        <w:div w:id="1831557756">
                                          <w:marLeft w:val="0"/>
                                          <w:marRight w:val="0"/>
                                          <w:marTop w:val="0"/>
                                          <w:marBottom w:val="0"/>
                                          <w:divBdr>
                                            <w:top w:val="none" w:sz="0" w:space="0" w:color="auto"/>
                                            <w:left w:val="none" w:sz="0" w:space="0" w:color="auto"/>
                                            <w:bottom w:val="none" w:sz="0" w:space="0" w:color="auto"/>
                                            <w:right w:val="none" w:sz="0" w:space="0" w:color="auto"/>
                                          </w:divBdr>
                                          <w:divsChild>
                                            <w:div w:id="1916429692">
                                              <w:marLeft w:val="0"/>
                                              <w:marRight w:val="0"/>
                                              <w:marTop w:val="0"/>
                                              <w:marBottom w:val="0"/>
                                              <w:divBdr>
                                                <w:top w:val="none" w:sz="0" w:space="0" w:color="auto"/>
                                                <w:left w:val="none" w:sz="0" w:space="0" w:color="auto"/>
                                                <w:bottom w:val="none" w:sz="0" w:space="0" w:color="auto"/>
                                                <w:right w:val="none" w:sz="0" w:space="0" w:color="auto"/>
                                              </w:divBdr>
                                              <w:divsChild>
                                                <w:div w:id="716511173">
                                                  <w:marLeft w:val="0"/>
                                                  <w:marRight w:val="0"/>
                                                  <w:marTop w:val="0"/>
                                                  <w:marBottom w:val="0"/>
                                                  <w:divBdr>
                                                    <w:top w:val="none" w:sz="0" w:space="0" w:color="auto"/>
                                                    <w:left w:val="none" w:sz="0" w:space="0" w:color="auto"/>
                                                    <w:bottom w:val="none" w:sz="0" w:space="0" w:color="auto"/>
                                                    <w:right w:val="none" w:sz="0" w:space="0" w:color="auto"/>
                                                  </w:divBdr>
                                                  <w:divsChild>
                                                    <w:div w:id="718823452">
                                                      <w:marLeft w:val="0"/>
                                                      <w:marRight w:val="0"/>
                                                      <w:marTop w:val="0"/>
                                                      <w:marBottom w:val="0"/>
                                                      <w:divBdr>
                                                        <w:top w:val="none" w:sz="0" w:space="0" w:color="auto"/>
                                                        <w:left w:val="none" w:sz="0" w:space="0" w:color="auto"/>
                                                        <w:bottom w:val="none" w:sz="0" w:space="0" w:color="auto"/>
                                                        <w:right w:val="none" w:sz="0" w:space="0" w:color="auto"/>
                                                      </w:divBdr>
                                                    </w:div>
                                                  </w:divsChild>
                                                </w:div>
                                                <w:div w:id="452141278">
                                                  <w:marLeft w:val="0"/>
                                                  <w:marRight w:val="0"/>
                                                  <w:marTop w:val="0"/>
                                                  <w:marBottom w:val="0"/>
                                                  <w:divBdr>
                                                    <w:top w:val="none" w:sz="0" w:space="0" w:color="auto"/>
                                                    <w:left w:val="none" w:sz="0" w:space="0" w:color="auto"/>
                                                    <w:bottom w:val="none" w:sz="0" w:space="0" w:color="auto"/>
                                                    <w:right w:val="none" w:sz="0" w:space="0" w:color="auto"/>
                                                  </w:divBdr>
                                                  <w:divsChild>
                                                    <w:div w:id="1713994328">
                                                      <w:marLeft w:val="0"/>
                                                      <w:marRight w:val="0"/>
                                                      <w:marTop w:val="0"/>
                                                      <w:marBottom w:val="0"/>
                                                      <w:divBdr>
                                                        <w:top w:val="none" w:sz="0" w:space="0" w:color="auto"/>
                                                        <w:left w:val="none" w:sz="0" w:space="0" w:color="auto"/>
                                                        <w:bottom w:val="none" w:sz="0" w:space="0" w:color="auto"/>
                                                        <w:right w:val="none" w:sz="0" w:space="0" w:color="auto"/>
                                                      </w:divBdr>
                                                    </w:div>
                                                    <w:div w:id="9744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220146">
      <w:bodyDiv w:val="1"/>
      <w:marLeft w:val="0"/>
      <w:marRight w:val="0"/>
      <w:marTop w:val="0"/>
      <w:marBottom w:val="0"/>
      <w:divBdr>
        <w:top w:val="none" w:sz="0" w:space="0" w:color="auto"/>
        <w:left w:val="none" w:sz="0" w:space="0" w:color="auto"/>
        <w:bottom w:val="none" w:sz="0" w:space="0" w:color="auto"/>
        <w:right w:val="none" w:sz="0" w:space="0" w:color="auto"/>
      </w:divBdr>
    </w:div>
    <w:div w:id="326716372">
      <w:bodyDiv w:val="1"/>
      <w:marLeft w:val="0"/>
      <w:marRight w:val="0"/>
      <w:marTop w:val="0"/>
      <w:marBottom w:val="0"/>
      <w:divBdr>
        <w:top w:val="none" w:sz="0" w:space="0" w:color="auto"/>
        <w:left w:val="none" w:sz="0" w:space="0" w:color="auto"/>
        <w:bottom w:val="none" w:sz="0" w:space="0" w:color="auto"/>
        <w:right w:val="none" w:sz="0" w:space="0" w:color="auto"/>
      </w:divBdr>
    </w:div>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491601444">
      <w:bodyDiv w:val="1"/>
      <w:marLeft w:val="0"/>
      <w:marRight w:val="0"/>
      <w:marTop w:val="0"/>
      <w:marBottom w:val="0"/>
      <w:divBdr>
        <w:top w:val="none" w:sz="0" w:space="0" w:color="auto"/>
        <w:left w:val="none" w:sz="0" w:space="0" w:color="auto"/>
        <w:bottom w:val="none" w:sz="0" w:space="0" w:color="auto"/>
        <w:right w:val="none" w:sz="0" w:space="0" w:color="auto"/>
      </w:divBdr>
    </w:div>
    <w:div w:id="692463475">
      <w:bodyDiv w:val="1"/>
      <w:marLeft w:val="0"/>
      <w:marRight w:val="0"/>
      <w:marTop w:val="0"/>
      <w:marBottom w:val="0"/>
      <w:divBdr>
        <w:top w:val="none" w:sz="0" w:space="0" w:color="auto"/>
        <w:left w:val="none" w:sz="0" w:space="0" w:color="auto"/>
        <w:bottom w:val="none" w:sz="0" w:space="0" w:color="auto"/>
        <w:right w:val="none" w:sz="0" w:space="0" w:color="auto"/>
      </w:divBdr>
    </w:div>
    <w:div w:id="749043429">
      <w:bodyDiv w:val="1"/>
      <w:marLeft w:val="0"/>
      <w:marRight w:val="0"/>
      <w:marTop w:val="0"/>
      <w:marBottom w:val="0"/>
      <w:divBdr>
        <w:top w:val="none" w:sz="0" w:space="0" w:color="auto"/>
        <w:left w:val="none" w:sz="0" w:space="0" w:color="auto"/>
        <w:bottom w:val="none" w:sz="0" w:space="0" w:color="auto"/>
        <w:right w:val="none" w:sz="0" w:space="0" w:color="auto"/>
      </w:divBdr>
    </w:div>
    <w:div w:id="1287658092">
      <w:bodyDiv w:val="1"/>
      <w:marLeft w:val="0"/>
      <w:marRight w:val="0"/>
      <w:marTop w:val="0"/>
      <w:marBottom w:val="0"/>
      <w:divBdr>
        <w:top w:val="none" w:sz="0" w:space="0" w:color="auto"/>
        <w:left w:val="none" w:sz="0" w:space="0" w:color="auto"/>
        <w:bottom w:val="none" w:sz="0" w:space="0" w:color="auto"/>
        <w:right w:val="none" w:sz="0" w:space="0" w:color="auto"/>
      </w:divBdr>
      <w:divsChild>
        <w:div w:id="1625112199">
          <w:marLeft w:val="0"/>
          <w:marRight w:val="0"/>
          <w:marTop w:val="0"/>
          <w:marBottom w:val="0"/>
          <w:divBdr>
            <w:top w:val="none" w:sz="0" w:space="0" w:color="auto"/>
            <w:left w:val="none" w:sz="0" w:space="0" w:color="auto"/>
            <w:bottom w:val="none" w:sz="0" w:space="0" w:color="auto"/>
            <w:right w:val="none" w:sz="0" w:space="0" w:color="auto"/>
          </w:divBdr>
          <w:divsChild>
            <w:div w:id="1920947472">
              <w:marLeft w:val="0"/>
              <w:marRight w:val="0"/>
              <w:marTop w:val="0"/>
              <w:marBottom w:val="0"/>
              <w:divBdr>
                <w:top w:val="none" w:sz="0" w:space="0" w:color="auto"/>
                <w:left w:val="none" w:sz="0" w:space="0" w:color="auto"/>
                <w:bottom w:val="none" w:sz="0" w:space="0" w:color="auto"/>
                <w:right w:val="none" w:sz="0" w:space="0" w:color="auto"/>
              </w:divBdr>
              <w:divsChild>
                <w:div w:id="1825972416">
                  <w:marLeft w:val="0"/>
                  <w:marRight w:val="0"/>
                  <w:marTop w:val="0"/>
                  <w:marBottom w:val="0"/>
                  <w:divBdr>
                    <w:top w:val="none" w:sz="0" w:space="0" w:color="auto"/>
                    <w:left w:val="none" w:sz="0" w:space="0" w:color="auto"/>
                    <w:bottom w:val="none" w:sz="0" w:space="0" w:color="auto"/>
                    <w:right w:val="none" w:sz="0" w:space="0" w:color="auto"/>
                  </w:divBdr>
                  <w:divsChild>
                    <w:div w:id="1770009223">
                      <w:marLeft w:val="0"/>
                      <w:marRight w:val="0"/>
                      <w:marTop w:val="0"/>
                      <w:marBottom w:val="0"/>
                      <w:divBdr>
                        <w:top w:val="none" w:sz="0" w:space="0" w:color="auto"/>
                        <w:left w:val="none" w:sz="0" w:space="0" w:color="auto"/>
                        <w:bottom w:val="none" w:sz="0" w:space="0" w:color="auto"/>
                        <w:right w:val="none" w:sz="0" w:space="0" w:color="auto"/>
                      </w:divBdr>
                      <w:divsChild>
                        <w:div w:id="238636367">
                          <w:marLeft w:val="0"/>
                          <w:marRight w:val="0"/>
                          <w:marTop w:val="0"/>
                          <w:marBottom w:val="0"/>
                          <w:divBdr>
                            <w:top w:val="none" w:sz="0" w:space="0" w:color="auto"/>
                            <w:left w:val="none" w:sz="0" w:space="0" w:color="auto"/>
                            <w:bottom w:val="none" w:sz="0" w:space="0" w:color="auto"/>
                            <w:right w:val="none" w:sz="0" w:space="0" w:color="auto"/>
                          </w:divBdr>
                          <w:divsChild>
                            <w:div w:id="1441342600">
                              <w:marLeft w:val="0"/>
                              <w:marRight w:val="0"/>
                              <w:marTop w:val="0"/>
                              <w:marBottom w:val="0"/>
                              <w:divBdr>
                                <w:top w:val="none" w:sz="0" w:space="0" w:color="auto"/>
                                <w:left w:val="none" w:sz="0" w:space="0" w:color="auto"/>
                                <w:bottom w:val="none" w:sz="0" w:space="0" w:color="auto"/>
                                <w:right w:val="none" w:sz="0" w:space="0" w:color="auto"/>
                              </w:divBdr>
                              <w:divsChild>
                                <w:div w:id="1508640587">
                                  <w:marLeft w:val="0"/>
                                  <w:marRight w:val="0"/>
                                  <w:marTop w:val="0"/>
                                  <w:marBottom w:val="0"/>
                                  <w:divBdr>
                                    <w:top w:val="none" w:sz="0" w:space="0" w:color="auto"/>
                                    <w:left w:val="none" w:sz="0" w:space="0" w:color="auto"/>
                                    <w:bottom w:val="none" w:sz="0" w:space="0" w:color="auto"/>
                                    <w:right w:val="none" w:sz="0" w:space="0" w:color="auto"/>
                                  </w:divBdr>
                                  <w:divsChild>
                                    <w:div w:id="235821291">
                                      <w:marLeft w:val="0"/>
                                      <w:marRight w:val="0"/>
                                      <w:marTop w:val="0"/>
                                      <w:marBottom w:val="0"/>
                                      <w:divBdr>
                                        <w:top w:val="none" w:sz="0" w:space="0" w:color="auto"/>
                                        <w:left w:val="none" w:sz="0" w:space="0" w:color="auto"/>
                                        <w:bottom w:val="none" w:sz="0" w:space="0" w:color="auto"/>
                                        <w:right w:val="none" w:sz="0" w:space="0" w:color="auto"/>
                                      </w:divBdr>
                                      <w:divsChild>
                                        <w:div w:id="1562322850">
                                          <w:marLeft w:val="0"/>
                                          <w:marRight w:val="0"/>
                                          <w:marTop w:val="0"/>
                                          <w:marBottom w:val="0"/>
                                          <w:divBdr>
                                            <w:top w:val="none" w:sz="0" w:space="0" w:color="auto"/>
                                            <w:left w:val="none" w:sz="0" w:space="0" w:color="auto"/>
                                            <w:bottom w:val="none" w:sz="0" w:space="0" w:color="auto"/>
                                            <w:right w:val="none" w:sz="0" w:space="0" w:color="auto"/>
                                          </w:divBdr>
                                          <w:divsChild>
                                            <w:div w:id="559905222">
                                              <w:marLeft w:val="0"/>
                                              <w:marRight w:val="0"/>
                                              <w:marTop w:val="0"/>
                                              <w:marBottom w:val="0"/>
                                              <w:divBdr>
                                                <w:top w:val="none" w:sz="0" w:space="0" w:color="auto"/>
                                                <w:left w:val="none" w:sz="0" w:space="0" w:color="auto"/>
                                                <w:bottom w:val="none" w:sz="0" w:space="0" w:color="auto"/>
                                                <w:right w:val="none" w:sz="0" w:space="0" w:color="auto"/>
                                              </w:divBdr>
                                              <w:divsChild>
                                                <w:div w:id="41452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793855">
          <w:marLeft w:val="0"/>
          <w:marRight w:val="0"/>
          <w:marTop w:val="0"/>
          <w:marBottom w:val="0"/>
          <w:divBdr>
            <w:top w:val="none" w:sz="0" w:space="0" w:color="auto"/>
            <w:left w:val="none" w:sz="0" w:space="0" w:color="auto"/>
            <w:bottom w:val="none" w:sz="0" w:space="0" w:color="auto"/>
            <w:right w:val="none" w:sz="0" w:space="0" w:color="auto"/>
          </w:divBdr>
          <w:divsChild>
            <w:div w:id="2086490479">
              <w:marLeft w:val="0"/>
              <w:marRight w:val="0"/>
              <w:marTop w:val="0"/>
              <w:marBottom w:val="0"/>
              <w:divBdr>
                <w:top w:val="none" w:sz="0" w:space="0" w:color="auto"/>
                <w:left w:val="none" w:sz="0" w:space="0" w:color="auto"/>
                <w:bottom w:val="none" w:sz="0" w:space="0" w:color="auto"/>
                <w:right w:val="none" w:sz="0" w:space="0" w:color="auto"/>
              </w:divBdr>
              <w:divsChild>
                <w:div w:id="1938439362">
                  <w:marLeft w:val="0"/>
                  <w:marRight w:val="0"/>
                  <w:marTop w:val="0"/>
                  <w:marBottom w:val="0"/>
                  <w:divBdr>
                    <w:top w:val="none" w:sz="0" w:space="0" w:color="auto"/>
                    <w:left w:val="none" w:sz="0" w:space="0" w:color="auto"/>
                    <w:bottom w:val="none" w:sz="0" w:space="0" w:color="auto"/>
                    <w:right w:val="none" w:sz="0" w:space="0" w:color="auto"/>
                  </w:divBdr>
                  <w:divsChild>
                    <w:div w:id="1245603026">
                      <w:marLeft w:val="0"/>
                      <w:marRight w:val="0"/>
                      <w:marTop w:val="0"/>
                      <w:marBottom w:val="0"/>
                      <w:divBdr>
                        <w:top w:val="none" w:sz="0" w:space="0" w:color="auto"/>
                        <w:left w:val="none" w:sz="0" w:space="0" w:color="auto"/>
                        <w:bottom w:val="none" w:sz="0" w:space="0" w:color="auto"/>
                        <w:right w:val="none" w:sz="0" w:space="0" w:color="auto"/>
                      </w:divBdr>
                      <w:divsChild>
                        <w:div w:id="2057578651">
                          <w:marLeft w:val="0"/>
                          <w:marRight w:val="0"/>
                          <w:marTop w:val="0"/>
                          <w:marBottom w:val="0"/>
                          <w:divBdr>
                            <w:top w:val="none" w:sz="0" w:space="0" w:color="auto"/>
                            <w:left w:val="none" w:sz="0" w:space="0" w:color="auto"/>
                            <w:bottom w:val="none" w:sz="0" w:space="0" w:color="auto"/>
                            <w:right w:val="none" w:sz="0" w:space="0" w:color="auto"/>
                          </w:divBdr>
                          <w:divsChild>
                            <w:div w:id="1871453689">
                              <w:marLeft w:val="0"/>
                              <w:marRight w:val="0"/>
                              <w:marTop w:val="0"/>
                              <w:marBottom w:val="0"/>
                              <w:divBdr>
                                <w:top w:val="none" w:sz="0" w:space="0" w:color="auto"/>
                                <w:left w:val="none" w:sz="0" w:space="0" w:color="auto"/>
                                <w:bottom w:val="none" w:sz="0" w:space="0" w:color="auto"/>
                                <w:right w:val="none" w:sz="0" w:space="0" w:color="auto"/>
                              </w:divBdr>
                              <w:divsChild>
                                <w:div w:id="474296503">
                                  <w:marLeft w:val="0"/>
                                  <w:marRight w:val="0"/>
                                  <w:marTop w:val="0"/>
                                  <w:marBottom w:val="0"/>
                                  <w:divBdr>
                                    <w:top w:val="none" w:sz="0" w:space="0" w:color="auto"/>
                                    <w:left w:val="none" w:sz="0" w:space="0" w:color="auto"/>
                                    <w:bottom w:val="none" w:sz="0" w:space="0" w:color="auto"/>
                                    <w:right w:val="none" w:sz="0" w:space="0" w:color="auto"/>
                                  </w:divBdr>
                                  <w:divsChild>
                                    <w:div w:id="1666934752">
                                      <w:marLeft w:val="0"/>
                                      <w:marRight w:val="0"/>
                                      <w:marTop w:val="0"/>
                                      <w:marBottom w:val="0"/>
                                      <w:divBdr>
                                        <w:top w:val="none" w:sz="0" w:space="0" w:color="auto"/>
                                        <w:left w:val="none" w:sz="0" w:space="0" w:color="auto"/>
                                        <w:bottom w:val="none" w:sz="0" w:space="0" w:color="auto"/>
                                        <w:right w:val="none" w:sz="0" w:space="0" w:color="auto"/>
                                      </w:divBdr>
                                      <w:divsChild>
                                        <w:div w:id="1762991275">
                                          <w:marLeft w:val="0"/>
                                          <w:marRight w:val="0"/>
                                          <w:marTop w:val="0"/>
                                          <w:marBottom w:val="0"/>
                                          <w:divBdr>
                                            <w:top w:val="none" w:sz="0" w:space="0" w:color="auto"/>
                                            <w:left w:val="none" w:sz="0" w:space="0" w:color="auto"/>
                                            <w:bottom w:val="none" w:sz="0" w:space="0" w:color="auto"/>
                                            <w:right w:val="none" w:sz="0" w:space="0" w:color="auto"/>
                                          </w:divBdr>
                                          <w:divsChild>
                                            <w:div w:id="2029938608">
                                              <w:marLeft w:val="0"/>
                                              <w:marRight w:val="0"/>
                                              <w:marTop w:val="0"/>
                                              <w:marBottom w:val="0"/>
                                              <w:divBdr>
                                                <w:top w:val="none" w:sz="0" w:space="0" w:color="auto"/>
                                                <w:left w:val="none" w:sz="0" w:space="0" w:color="auto"/>
                                                <w:bottom w:val="none" w:sz="0" w:space="0" w:color="auto"/>
                                                <w:right w:val="none" w:sz="0" w:space="0" w:color="auto"/>
                                              </w:divBdr>
                                              <w:divsChild>
                                                <w:div w:id="1851791964">
                                                  <w:marLeft w:val="0"/>
                                                  <w:marRight w:val="0"/>
                                                  <w:marTop w:val="0"/>
                                                  <w:marBottom w:val="0"/>
                                                  <w:divBdr>
                                                    <w:top w:val="none" w:sz="0" w:space="0" w:color="auto"/>
                                                    <w:left w:val="none" w:sz="0" w:space="0" w:color="auto"/>
                                                    <w:bottom w:val="none" w:sz="0" w:space="0" w:color="auto"/>
                                                    <w:right w:val="none" w:sz="0" w:space="0" w:color="auto"/>
                                                  </w:divBdr>
                                                  <w:divsChild>
                                                    <w:div w:id="1734499611">
                                                      <w:marLeft w:val="0"/>
                                                      <w:marRight w:val="0"/>
                                                      <w:marTop w:val="0"/>
                                                      <w:marBottom w:val="0"/>
                                                      <w:divBdr>
                                                        <w:top w:val="none" w:sz="0" w:space="0" w:color="auto"/>
                                                        <w:left w:val="none" w:sz="0" w:space="0" w:color="auto"/>
                                                        <w:bottom w:val="none" w:sz="0" w:space="0" w:color="auto"/>
                                                        <w:right w:val="none" w:sz="0" w:space="0" w:color="auto"/>
                                                      </w:divBdr>
                                                    </w:div>
                                                  </w:divsChild>
                                                </w:div>
                                                <w:div w:id="955480272">
                                                  <w:marLeft w:val="0"/>
                                                  <w:marRight w:val="0"/>
                                                  <w:marTop w:val="0"/>
                                                  <w:marBottom w:val="0"/>
                                                  <w:divBdr>
                                                    <w:top w:val="none" w:sz="0" w:space="0" w:color="auto"/>
                                                    <w:left w:val="none" w:sz="0" w:space="0" w:color="auto"/>
                                                    <w:bottom w:val="none" w:sz="0" w:space="0" w:color="auto"/>
                                                    <w:right w:val="none" w:sz="0" w:space="0" w:color="auto"/>
                                                  </w:divBdr>
                                                  <w:divsChild>
                                                    <w:div w:id="1297495030">
                                                      <w:marLeft w:val="0"/>
                                                      <w:marRight w:val="0"/>
                                                      <w:marTop w:val="0"/>
                                                      <w:marBottom w:val="0"/>
                                                      <w:divBdr>
                                                        <w:top w:val="none" w:sz="0" w:space="0" w:color="auto"/>
                                                        <w:left w:val="none" w:sz="0" w:space="0" w:color="auto"/>
                                                        <w:bottom w:val="none" w:sz="0" w:space="0" w:color="auto"/>
                                                        <w:right w:val="none" w:sz="0" w:space="0" w:color="auto"/>
                                                      </w:divBdr>
                                                    </w:div>
                                                    <w:div w:id="18071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826696">
      <w:bodyDiv w:val="1"/>
      <w:marLeft w:val="0"/>
      <w:marRight w:val="0"/>
      <w:marTop w:val="0"/>
      <w:marBottom w:val="0"/>
      <w:divBdr>
        <w:top w:val="none" w:sz="0" w:space="0" w:color="auto"/>
        <w:left w:val="none" w:sz="0" w:space="0" w:color="auto"/>
        <w:bottom w:val="none" w:sz="0" w:space="0" w:color="auto"/>
        <w:right w:val="none" w:sz="0" w:space="0" w:color="auto"/>
      </w:divBdr>
    </w:div>
    <w:div w:id="1633091789">
      <w:bodyDiv w:val="1"/>
      <w:marLeft w:val="0"/>
      <w:marRight w:val="0"/>
      <w:marTop w:val="0"/>
      <w:marBottom w:val="0"/>
      <w:divBdr>
        <w:top w:val="none" w:sz="0" w:space="0" w:color="auto"/>
        <w:left w:val="none" w:sz="0" w:space="0" w:color="auto"/>
        <w:bottom w:val="none" w:sz="0" w:space="0" w:color="auto"/>
        <w:right w:val="none" w:sz="0" w:space="0" w:color="auto"/>
      </w:divBdr>
    </w:div>
    <w:div w:id="1647783216">
      <w:bodyDiv w:val="1"/>
      <w:marLeft w:val="0"/>
      <w:marRight w:val="0"/>
      <w:marTop w:val="0"/>
      <w:marBottom w:val="0"/>
      <w:divBdr>
        <w:top w:val="none" w:sz="0" w:space="0" w:color="auto"/>
        <w:left w:val="none" w:sz="0" w:space="0" w:color="auto"/>
        <w:bottom w:val="none" w:sz="0" w:space="0" w:color="auto"/>
        <w:right w:val="none" w:sz="0" w:space="0" w:color="auto"/>
      </w:divBdr>
    </w:div>
    <w:div w:id="1792091237">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education" TargetMode="External"/><Relationship Id="rId13" Type="http://schemas.openxmlformats.org/officeDocument/2006/relationships/hyperlink" Target="https://ich.unesco.org/fr/projets/integrer-le-patrimoine-vivant-dans-l-education-primaire-dans-des-petits-etats-insulaires-en-developpement-peid-des-caraibes-00504?projectID=00504" TargetMode="External"/><Relationship Id="rId18" Type="http://schemas.openxmlformats.org/officeDocument/2006/relationships/hyperlink" Target="https://ich.unesco.org/fr/evenements/patrimoine-vivant-et-education-programme-de-formation-pour-le-reseau-mondial-des-facilitateurs-0103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nesdoc.unesco.org/ark:/48223/pf0000395708" TargetMode="External"/><Relationship Id="rId7" Type="http://schemas.openxmlformats.org/officeDocument/2006/relationships/endnotes" Target="endnotes.xml"/><Relationship Id="rId12" Type="http://schemas.openxmlformats.org/officeDocument/2006/relationships/hyperlink" Target="https://ich.unesco.org/doc/src/LHE-25-20.COM-13_FR.docx" TargetMode="External"/><Relationship Id="rId17" Type="http://schemas.openxmlformats.org/officeDocument/2006/relationships/hyperlink" Target="https://www.unesco.org/fr/articles/les-etats-membres-de-lunesco-saccordent-pour-renforcer-leducation-culturelle-et-artistiqu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esco.org/fr/global-citizenship-peace-education/recommendation" TargetMode="External"/><Relationship Id="rId20" Type="http://schemas.openxmlformats.org/officeDocument/2006/relationships/hyperlink" Target="https://ich.unesco.org/fr/evenements/reunion-de-reflexion-sur-la-sauvegarde-du-patrimoine-vivant-dans-l-education-formelle-et-non-formelle-010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1-16.COM-12-FR.doc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fr/projets/apprendre-avec-le-patrimoine-culturel-immateriel-pour-un-avenir-durable-en-amerique-latine-et-dans-les-caraibes-00473?projectID=00473" TargetMode="External"/><Relationship Id="rId23" Type="http://schemas.openxmlformats.org/officeDocument/2006/relationships/header" Target="header2.xml"/><Relationship Id="rId10" Type="http://schemas.openxmlformats.org/officeDocument/2006/relationships/hyperlink" Target="https://ich.unesco.org/fr/decisions/16.COM/12" TargetMode="External"/><Relationship Id="rId19" Type="http://schemas.openxmlformats.org/officeDocument/2006/relationships/hyperlink" Target="https://ich.unesco.org/fr/resources-education" TargetMode="External"/><Relationship Id="rId4" Type="http://schemas.openxmlformats.org/officeDocument/2006/relationships/settings" Target="settings.xml"/><Relationship Id="rId9" Type="http://schemas.openxmlformats.org/officeDocument/2006/relationships/hyperlink" Target="https://ich.unesco.org/fr/decisions/12.COM/6" TargetMode="External"/><Relationship Id="rId14" Type="http://schemas.openxmlformats.org/officeDocument/2006/relationships/hyperlink" Target="https://ich.unesco.org/fr/projets/le-patrimoine-vivant-et-les-objectifs-de-developpement-durable-sauvegarde-du-patrimoine-culturel-immateriel-par-l-education-formelle-et-non-formelle-dans-la-region-asie-pacifique-et-en-afrique-00476?projectID=00476"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ressources-pour-les-enseignants-01180" TargetMode="External"/><Relationship Id="rId2" Type="http://schemas.openxmlformats.org/officeDocument/2006/relationships/hyperlink" Target="https://ich.unesco.org/fr/projets/soutenir-la-resilience-des-ecoliers-ukrainiens-en-les-sensibilisant-a-leur-patrimoine-vivant-00485?projectID=00485" TargetMode="External"/><Relationship Id="rId1" Type="http://schemas.openxmlformats.org/officeDocument/2006/relationships/hyperlink" Target="https://ich.unesco.org/fr/projets/sauvegarde-du-patrimoine-culturel-immateriel-dans-l-education-de-base-en-namibie-et-au-zimbabwe-00482?projectID=00482" TargetMode="External"/><Relationship Id="rId5" Type="http://schemas.openxmlformats.org/officeDocument/2006/relationships/hyperlink" Target="https://www.unesco.org/fr/culture-education/alwaleedphilantropies" TargetMode="External"/><Relationship Id="rId4" Type="http://schemas.openxmlformats.org/officeDocument/2006/relationships/hyperlink" Target="https://ich.unesco.org/fr/projets/renforcement-des-capacites-pour-la-sauvegarde-du-patrimoine-culturel-immateriel-en-cas-d-urgence-dans-les-petits-etats-insulaires-en-developpement-peid-du-pacifique-et-des-caraibes-00478?projectID=0047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document_EN.dotx</Template>
  <TotalTime>2</TotalTime>
  <Pages>6</Pages>
  <Words>2812</Words>
  <Characters>15466</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Ohinata, Fumiko</cp:lastModifiedBy>
  <cp:revision>5</cp:revision>
  <cp:lastPrinted>2025-11-13T11:08:00Z</cp:lastPrinted>
  <dcterms:created xsi:type="dcterms:W3CDTF">2025-11-25T16:43:00Z</dcterms:created>
  <dcterms:modified xsi:type="dcterms:W3CDTF">2025-11-28T11:10:00Z</dcterms:modified>
</cp:coreProperties>
</file>